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999/2019 vom 2. Dezember 2019</w:t>
      </w:r>
    </w:p>
    <w:p>
      <w:r>
        <w:t>Bundesgericht, 2019-12-02, FR</w:t>
      </w:r>
    </w:p>
    <w:p>
      <w:r>
        <w:rPr>
          <w:b/>
        </w:rPr>
        <w:t xml:space="preserve">Quelle: </w:t>
      </w:r>
      <w:r>
        <w:t>https://mcp.opencaselaw.ch/entscheid/bger_2C_999_2019</w:t>
      </w:r>
    </w:p>
    <w:p>
      <w:r>
        <w:t>FR: TF 2C 999/2019 du 2 décembre 2019</w:t>
      </w:r>
    </w:p>
    <w:p>
      <w:r>
        <w:t>IT: TF 2C 999/2019 del 2 dicembre 2019</w:t>
      </w:r>
    </w:p>
    <w:p>
      <w:pPr>
        <w:pStyle w:val="Heading2"/>
      </w:pPr>
      <w:r>
        <w:t>Regeste</w:t>
      </w:r>
    </w:p>
    <w:p>
      <w:r>
        <w:t>Renvoi de Suisse, demande de révision | Droit de cité et droit des étrangers</w:t>
      </w:r>
    </w:p>
    <w:p>
      <w:pPr>
        <w:pStyle w:val="Heading2"/>
      </w:pPr>
      <w:r>
        <w:t>Erwägungen</w:t>
      </w:r>
    </w:p>
    <w:p>
      <w:r>
        <w:rPr>
          <w:b/>
        </w:rPr>
        <w:t>E. 1</w:t>
      </w:r>
    </w:p>
    <w:p>
      <w:r>
        <w:t>Par arrêt du 7 novembre 2019, le Tribunal cantonal du canton de Vaud a rejeté la demande révision déposée par l'intéressé contre l'arrêt rendu le 24 septembre 2019 confirmant son renvoi de Suisse et des pays membres de l'Espace Schengen à moins qu'il ne soit titulaire d'un permis de séjour d'un tel Etat et que celui-ci le réadmette sur son territoire.</w:t>
      </w:r>
    </w:p>
    <w:p>
      <w:r>
        <w:rPr>
          <w:b/>
        </w:rPr>
        <w:t>E. 2</w:t>
      </w:r>
    </w:p>
    <w:p>
      <w:r>
        <w:t>Par courrier du 25 novembre 2019, l'intéressé demande au Tribunal fédéral, au moins, implicitement d'annuler l'interdiction d'entrer dans l'espace Schengen. Il affirme être d'accord de quitter la Suisse.</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 En l'espèce, le courrier rédigé par le recourant à l'attention du Tribunal fédéral n'expose pas de manière suffisante, eu égard aux exigences de l' art. 42 al. 2 LTF , en quoi l'arrêt du 7 novembre 2019 viole le droit.</w:t>
      </w:r>
    </w:p>
    <w:p>
      <w:r>
        <w:rPr>
          <w:b/>
        </w:rPr>
        <w:t>E. 4</w:t>
      </w:r>
    </w:p>
    <w:p>
      <w:r>
        <w:t>Ne répondant pas aux exigences de motivation de l' art. 42 al. 2 LTF , le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