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997/2019 vom 12. Dezember 2019</w:t>
      </w:r>
    </w:p>
    <w:p>
      <w:r>
        <w:t>Bundesgericht, 2019-12-12, DE</w:t>
      </w:r>
    </w:p>
    <w:p>
      <w:r>
        <w:rPr>
          <w:b/>
        </w:rPr>
        <w:t xml:space="preserve">Quelle: </w:t>
      </w:r>
      <w:r>
        <w:t>https://mcp.opencaselaw.ch/entscheid/bger_2C_997_2019</w:t>
      </w:r>
    </w:p>
    <w:p>
      <w:r>
        <w:t>FR: TF 2C 997/2019 du 12 décembre 2019</w:t>
      </w:r>
    </w:p>
    <w:p>
      <w:r>
        <w:t>IT: TF 2C 997/2019 del 12 dicembre 2019</w:t>
      </w:r>
    </w:p>
    <w:p>
      <w:pPr>
        <w:pStyle w:val="Heading2"/>
      </w:pPr>
      <w:r>
        <w:t>Regeste</w:t>
      </w:r>
    </w:p>
    <w:p>
      <w:r>
        <w:t>Staatssteuer des Kantons Freiburg und direkte Bundessteuer, Steuerperiode 2017 | Öffentliche Finanzen &amp; Abgaberecht</w:t>
      </w:r>
    </w:p>
    <w:p>
      <w:pPr>
        <w:pStyle w:val="Heading2"/>
      </w:pPr>
      <w:r>
        <w:t>Erwägungen</w:t>
      </w:r>
    </w:p>
    <w:p>
      <w:r>
        <w:rPr>
          <w:b/>
        </w:rPr>
        <w:t>E. 1.1</w:t>
      </w:r>
    </w:p>
    <w:p>
      <w:r>
        <w:t>Das Kantonsgericht des Kantons Freiburg hiess am 22. Oktober 2019 eine Beschwerde von A.________ nur teilweise gut. Dieser drückte am 25. November 2019 in einem Schreiben an das Kantonsgericht seine Enttäuschung hierüber aus und hielt fest, dass er den Entscheid nicht akzeptiere und an das Bundesgericht gelangen wolle.</w:t>
      </w:r>
    </w:p>
    <w:p>
      <w:r>
        <w:rPr>
          <w:b/>
        </w:rPr>
        <w:t>E. 1.2</w:t>
      </w:r>
    </w:p>
    <w:p>
      <w:r>
        <w:t>Am 27. November 2019 übermittelte das Kantonsgericht Freiburg das Schreiben vom 25. November 2019 an das Bundesgericht. Der Präsidialgerichtsschreiber der II. öffentlich-rechtlichen Abteilung fragte A.________ in der Folge am 29. November 2019 an, ob sein Schreiben als Beschwerde entgegenzunehmen sei; gleichzeitig wies er A.________ darauf hin, dass die Eingabe den gesetzlichen Begründungsanforderungen für Eingaben an das Bundesgericht ( Art. 42 BGG ) nicht genügen dürfte; er könne seine Eingabe aber noch bis zum Ablauf der Beschwerdefrist verbessern. A.________ hat keine weitere Eingabe eingereicht.</w:t>
      </w:r>
    </w:p>
    <w:p>
      <w:r>
        <w:rPr>
          <w:b/>
        </w:rPr>
        <w:t>E. 2.1</w:t>
      </w:r>
    </w:p>
    <w:p>
      <w:r>
        <w:t>Gemäss Art. 42 Abs. 1 und 2 BGG haben Rechtsschriften an das Bundesgericht die Begehren und deren Begründung zu enthalten. Die Begründung muss sachbezogen sein und sich auf den Gegenstand des angefochtenen Entscheids beziehen. Die Beschwerde 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w:t>
      </w:r>
    </w:p>
    <w:p>
      <w:r>
        <w:rPr>
          <w:b/>
        </w:rPr>
        <w:t>E. 2.2</w:t>
      </w:r>
    </w:p>
    <w:p>
      <w:r>
        <w:t>Die vom Kantonsgericht des Kantons Freiburg weitergeleitete Eingabe enthält keine Anträge und keinerlei Begründung dazu, inwiefern das angefochtene Urteil Recht verletzen würde. Der Beschwerdeführer hat nach dem Schreiben des Bundesgerichts vom 29. November 2019 seine Eingabe nicht fristgerecht verbessert. Da sein Schreiben vom 25. November 2019 damit offensichtlich keine rechtsgenügende Begründung enthält, ist darauf mit Entscheid des Einzelrichters im vereinfachten Verfahren nach Art. 108 BGG nicht einzutreten.</w:t>
      </w:r>
    </w:p>
    <w:p>
      <w:r>
        <w:rPr>
          <w:b/>
        </w:rPr>
        <w:t>E. 3</w:t>
      </w:r>
    </w:p>
    <w:p>
      <w:r>
        <w:t>Es kann davon abgesehen werden, 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