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2C_997/2017 vom 29. November 2017</w:t>
      </w:r>
    </w:p>
    <w:p>
      <w:r>
        <w:t>Bundesgericht, 2017-11-29, IT</w:t>
      </w:r>
    </w:p>
    <w:p>
      <w:r>
        <w:rPr>
          <w:b/>
        </w:rPr>
        <w:t xml:space="preserve">Quelle: </w:t>
      </w:r>
      <w:r>
        <w:t>https://mcp.opencaselaw.ch/entscheid/bger_2C_997_2017</w:t>
      </w:r>
    </w:p>
    <w:p>
      <w:r>
        <w:t>FR: TF 2C_997/2017 du 29 novembre 2017</w:t>
      </w:r>
    </w:p>
    <w:p>
      <w:r>
        <w:t>IT: TF 2C_997/2017 del 29 novembre 2017</w:t>
      </w:r>
    </w:p>
    <w:p>
      <w:pPr>
        <w:pStyle w:val="Heading2"/>
      </w:pPr>
      <w:r>
        <w:t>Erwägungen</w:t>
      </w:r>
    </w:p>
    <w:p>
      <w:r>
        <w:rPr>
          <w:b/>
        </w:rPr>
        <w:t>E. 1.1</w:t>
      </w:r>
    </w:p>
    <w:p>
      <w:r>
        <w:t>II Tribunale federale esamina d'ufficio e con piena cognizione la sua competenza ( art. 29 cpv. 1 LTF ) e l'ammissibilità dei gravami che gli vengono sottoposti ( DTF 140 I 252 consid. 1 pag. 254; 139 V 42 consid. 1 pag. 44).</w:t>
      </w:r>
    </w:p>
    <w:p>
      <w:r>
        <w:rPr>
          <w:b/>
        </w:rPr>
        <w:t>E. 1.2</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dal destinatario del giudizio contestato ( art. 100 cpv. 1 LTF ), con interesse all'annullamento dello stesso ( art. 89 cpv. 1 LTF ), e va pertanto trattato quale ricorso in materia di diritto pubblico giusta l'art. 82 segg. LTF (al riguardo, cfr. anche l' art. 73 LAID [RS 642.14]; sulla portata di questa norma in relazione con la legge sul Tribunale federale, vedasi DTF 134 II 186 consid. 1.3 pag. 188).</w:t>
      </w:r>
    </w:p>
    <w:p>
      <w:r>
        <w:rPr>
          <w:b/>
        </w:rPr>
        <w:t>E. 2.1</w:t>
      </w:r>
    </w:p>
    <w:p>
      <w:r>
        <w:t>Giusta l' art. 42 LTF il ricorso deve contenere le conclusioni, i motivi e l'indicazione dei mezzi di prova (cpv. 1) e dev'essere motivato in modo sufficiente, spiegando nei motivi perché l'atto impugnato viola il diritto (cpv. 2; DTF 134 II 244 consid. 2.1 pag. 245; 133 II 249 consid. 1.4.1 pag. 254). Il Tribunale federale esamina in linea di massima solo le censure sollevate; esso non è tenuto a vagliare, come lo farebbe un'autorità di prima istanza, tutte le questioni giuridiche che si pongono, se queste ultime non sono sollevate in sede federale.</w:t>
      </w:r>
    </w:p>
    <w:p>
      <w:r>
        <w:rPr>
          <w:b/>
        </w:rPr>
        <w:t>E. 2.2</w:t>
      </w:r>
    </w:p>
    <w:p>
      <w:r>
        <w:t>Nel caso concreto l'allegato ricorsuale non contiene precise ed esaustive considerazioni di natura giuridica che espongano quali disposizioni legali sarebbero violate e in cosa consisterebbe la lesione del diritto applicabile per quanto concerne la commisurazione degli elementi imponibili, segnatamente la sostanza immobiliare ubicata a Zurigo, ai fini dell'imposizione nel Cantone Ticino per l'anno fiscale 2012. Il ricorrente si limita infatti a ribadire quanto già addotto dinanzi alla Corte cantonale, ossia che il valore di stima ritenuto dal fisco zurighese sarebbe falso nonché a presentare i propri calcoli in proposito, senza tuttavia esporre in maniera sufficiente i motivi per i quali la pronuncia impugnata sarebbe contraria al diritto rispettivamente senza confrontarsi nelle debite forme con i motivi che hanno indotto la Camera di diritto tributario a rendere il giudizio querelato. Per quanto concerne l'apprezzamento delle prove in particolare, la critica del ricorrente si esaurisce nell'esposizione di una propria versione dei fatti rispettivamente in una loro personale lettura, ciò che tuttavia non è sufficiente per dimostrarne l'arbitrio. In effetti, una censura basata sulla violazione del divieto dell'arbitrio di cui all' art. 9 Cost. non può esaurirsi in considerazioni che forniscono solo una diversa lettura delle prove addotte, ma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w:t>
      </w:r>
    </w:p>
    <w:p>
      <w:r>
        <w:rPr>
          <w:b/>
        </w:rPr>
        <w:t>E. 2.3</w:t>
      </w:r>
    </w:p>
    <w:p>
      <w:r>
        <w:t>Da quanto precede discende che l'argomentazione del ricorrente non rispetta le esigenze di motivazione poste dagli art. 42 cpv. 2 e 106 cpv. 2 LTF, motivo per cui l'impugnativa sfugge ad un esame di merito. Il ricorso in materia di diritto pubblico va quindi dichiarato inammissibile e può essere deciso sulla base della procedura semplificata dell' art. 108 cpv. 1 lett. b LTF .</w:t>
      </w:r>
    </w:p>
    <w:p>
      <w:r>
        <w:rPr>
          <w:b/>
        </w:rPr>
        <w:t>E. 3</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