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2C_995/2013 vom 24. April 2014</w:t>
      </w:r>
    </w:p>
    <w:p>
      <w:r>
        <w:t>Bundesgericht, 2014-04-24, DE</w:t>
      </w:r>
    </w:p>
    <w:p>
      <w:r>
        <w:rPr>
          <w:b/>
        </w:rPr>
        <w:t xml:space="preserve">Quelle: </w:t>
      </w:r>
      <w:r>
        <w:t>https://mcp.opencaselaw.ch/entscheid/bger_2C_995_2013</w:t>
      </w:r>
    </w:p>
    <w:p>
      <w:r>
        <w:t>FR: TF 2C_995/2013 du 24 avril 2014</w:t>
      </w:r>
    </w:p>
    <w:p>
      <w:r>
        <w:t>IT: TF 2C_995/2013 del 24 aprile 2014</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Gegen den Widerruf einer ausländerrechtlichen Bewilligung ist die Beschwerde in öffentlich-rechtlichen Angelegenheiten grundsätzlich zulässig, ungeachtet davon, ob sie auf einem Rechtsanspruch beruht ( BGE 135 II 1 E. 1.2.1 S. 4; Urteile 2C_207/2014 vom 6. März 2014 E. 2.1; 2C_235/2012 vom 13. März 2013 E. 1.1). Auf die form- und fristgerecht eingereichte Beschwerde ist einzutreten ( Art. 42 Abs. 2 und Art. 100 Abs. 1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1.3</w:t>
      </w:r>
    </w:p>
    <w:p>
      <w:r>
        <w:t>Neue tatsächliche Vorbringen und Beweismittel sind im bundesgerichtlichen Verfahren grundsätzlich unzulässig ( Art. 99 BGG ). Auf die beiden Schreiben, die nach dem angefochtenen Entscheid erstellt wurden und die der Beschwerdeführer mit seiner Beschwerde eingereicht hat (Schreiben seiner Ehefrau und der Firma B.________), kann nicht weiter eingegangen werden. Auch zwei weitere Dokumente, mit denen der Beschwerdeführer seine Kooperation im Strafvollzug belegen möchte, können nicht berücksichtigt werden. Es handelt sich um unzulässige Noven.</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31 E. 2, 145 E. 2; 137 II 297 E. 3 S. 302 ff.; Urteile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135 II 377 E. 4.3 u.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daran, die Anwesenheit eines Ausländers zu beenden, der die Sicherheit und Ordnung derart beeinträchtigt (vgl. BGE 139 I 145 E. 2.4 und 2.5; das Urteil 2C_903/2010 vom 6. Juni 2011 E. 3.1, nicht publ. in BGE 137 II 233 ; BGE 130 II 176 E. 4.4.2 S. 190).</w:t>
      </w:r>
    </w:p>
    <w:p>
      <w:r>
        <w:rPr>
          <w:b/>
        </w:rPr>
        <w:t>E. 3</w:t>
      </w:r>
    </w:p>
    <w:p>
      <w:r>
        <w:t>Der Beschwerdeführer bestreitet einzig die Interessenabwägung und Verhältnismässigkeitsprüfung, wie sie die Vorinstanz vorgenommen hat. Entgegen seinen Ausführungen hat die Vorinstanz die widerstreitenden Interessen sorgsam gewichtet, in zulässiger Weise gegeneinander abgewogen und den Widerruf der Niederlassungsbewilligung des Beschwerdeführers zurecht als verhältnismässig erachtet:</w:t>
      </w:r>
    </w:p>
    <w:p>
      <w:r>
        <w:rPr>
          <w:b/>
        </w:rPr>
        <w:t>E. 3.1</w:t>
      </w:r>
    </w:p>
    <w:p>
      <w:r>
        <w:t>Der Beschwerdeführer wurde rechtskräftig wegen versuchter vorsätzlicher Tötung und anderen Delikten zu einer unbedingten Freiheitsstrafe von vier Jahren verurteilt. Wie sich aus den Akten ergibt ( Art. 105 Abs. 2 BGG ), hatte er anlässlich eines Streits aus nichtigem Anlass einem unbeteiligten Opfer völlig überraschend von hinten mit einem Maurerhammer auf den Kopf eingeschlagen und es dabei lebensgefährlich verletzt. Das Obergericht bezeichnete sein Verschulden als schwer. Der Beschwerdeführer habe skrupellos und in Geringschätzung menschlichen Lebens gehandelt. Das Verwaltungsgericht durfte ausländerrechtlich - auch unter generalpräventiven Überlegungen - von einem gravierenden Verstoss gegen die Rechtsordnung und einem entsprechend hohen öffentlichen Interesse an der Beendigung des Aufenthalts des Beschwerdeführers ausgehen (vgl. BGE 130 II 176 E. 4.2 - E. 4.4 S. 185 ff.; Urteile 2C_218/2011 vom 4. Januar 2012 E. 2; 2C_963/2012 vom 1. April 2013 E. 5.1.3). Mit den Vorbringen, er sei alkoholisiert gewesen und seine Gruppe sei "durch Rechtsextremisten provoziert" worden, rügt der Beschwerdeführer sinngemäss eine rechtswidrige Erstellung des rechtserheblichen Sachverhalts durch die Vorinstanz. Er verkennt jedoch, dass diese an die rechtskräftigen Erkenntnisse des Strafgerichts gebunden ist, das allfällige schuldmildernde Umstände berücksichtigt. Keine Bedeutung zu erlangen vermögen sodann seine Hinweise auf ein Wohlverhalten seit seinem jüngsten Delikt im Juli 2010. Der Umstand, dass sich der seit 2011 im Strafvollzug befindliche Beschwerdeführer nach der letzten Verurteilung nichts mehr hat zuschulden kommen lassen, lässt angesichts der im Strafvollzug vorhandenen, verhältnismässig engmaschigen Betreuung keine verlässlichen Rückschlüsse auf das Verhalten in Freiheit zu (vgl. Urteile 2C_512/2013 vom 17. Februar 2014 E. 3.2.1; 2C_125/2010 vom 28. Oktober 2010 E. 3.4; 2C_331/2010 vom 16. September 2010 E. 3.3).</w:t>
      </w:r>
    </w:p>
    <w:p>
      <w:r>
        <w:rPr>
          <w:b/>
        </w:rPr>
        <w:t>E. 3.2</w:t>
      </w:r>
    </w:p>
    <w:p>
      <w:r>
        <w:t>Die gegenläufigen privaten Interessen des Beschwerdeführers am Verbleib in der Schweiz fallen demgegenüber - wie die Vorinstanz zu Recht ausgeführt hat - weniger ins Gewicht. Der Beschwerdeführer hält sich zwar seit langer Zeit in der Schweiz auf und ist seit 2013 mit einer Schweizer Bürgerin verheiratet. Die Heirat erfolgte während des Strafvollzugs und nach der verfügten Wegweisung; der Gattin musste klar gewesen sein, dass sie die Beziehung angesichts der wiederholten und schweren Delikte allenfalls inskünftig nicht weiter in der Schweiz würde leben können (vgl. Urteil 2C_873/2012 vom 28. März 2013 E. 4.2.4). Ihr steht es selbstverständlich offen, in der Schweiz zu verbleiben und den Kontakt zum Beschwerdeführer durch Kommunikationsmittel oder durch Besuche aufrecht zu erhalten (vgl. Urteile 2C_963/2012 vom 1. April 2013 e. 6.2; 2C_679/2011 vom 21. Februar 2012 E. 3.4.3). Der Beschwerdeführer selbst kann angesichts der Tatsache, dass er seit seinem 19. Lebensjahr immer wieder und schwer straffällig geworden ist, nicht als sozial integriert gelten. Entgegen seiner Ansicht können die erheblichen öffentlichen Interessen an der Aufenthaltsbeendigung aufgrund des von ihm begangenen Gewaltdelikts auch nicht durch eine "sehr negative Gruppendynamik" in der Tatnacht relativiert werden. Nach seiner Verwarnung durch das Migrationsamt, die bereits im Jahr 2006 erfolgte, hätte er wissen müssen, dass er mit weiteren Straftaten seine Aufenthaltsberechtigung in der Schweiz riskierte. Der Beschwerdeführer spricht albanisch, hat immer wieder Ferien in Mazedonien verbracht und ist auch durch seine Eltern mit der mazedonischen Kultur vertraut. Die nunmehr abgeschlossene Ausbildung als Spengler kann ihm hilfreich sein, sich in Mazedonien beruflich zu integrieren. Sein Vorbringen, wonach das wirtschaftliche Fortkommen in seinem Herkunftsland schwieriger sein werde, kann im Rahmen der Überprüfung des Widerrufs nicht entscheidend sein (vgl. Urteile 2C_695/2012 vom 28. Januar 2013 E. 3.2.3; 2C_1029/2011 vom 10. April 2012 E. 3.3.2 mit Hinweisen). Eine Ausreise in sein Heimatland ist ihm zumutbar. Zwar sind die privaten Interessen des Beschwerdeführers nach einem längeren Aufenthalt in der Schweiz und der Beziehung zu seiner Schweizer Gattin bedeutend; sie vermögen jedoch das gewichtige sicherheitspolizeiliche Interesse an der Beendigung des Aufenthalts aufgrund der schweren Delinquenz nicht zu überwiegen.</w:t>
      </w:r>
    </w:p>
    <w:p>
      <w:r>
        <w:rPr>
          <w:b/>
        </w:rPr>
        <w:t>E. 4</w:t>
      </w:r>
    </w:p>
    <w:p>
      <w:r>
        <w:t>Die Beschwerde ist demnach unbegründet und abzuweisen. Dem Verfahrensausgang entsprechend sind die bundesgerichtlichen Kosten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