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993/2011 vom 10. Juli 2012</w:t>
      </w:r>
    </w:p>
    <w:p>
      <w:r>
        <w:t>Bundesgericht, 2012-07-10, FR</w:t>
      </w:r>
    </w:p>
    <w:p>
      <w:r>
        <w:rPr>
          <w:b/>
        </w:rPr>
        <w:t xml:space="preserve">Quelle: </w:t>
      </w:r>
      <w:r>
        <w:t>https://mcp.opencaselaw.ch/entscheid/bger_2C_993_2011</w:t>
      </w:r>
    </w:p>
    <w:p>
      <w:r>
        <w:t>FR: TF 2C 993/2011 du 10 juillet 2012</w:t>
      </w:r>
    </w:p>
    <w:p>
      <w:r>
        <w:t>IT: TF 2C 993/2011 del 10 luglio 2012</w:t>
      </w:r>
    </w:p>
    <w:p>
      <w:pPr>
        <w:pStyle w:val="Heading2"/>
      </w:pPr>
      <w:r>
        <w:t>Regeste</w:t>
      </w:r>
    </w:p>
    <w:p>
      <w:r>
        <w:t>Autorisation de séjour; autorisation d'entrée | Droit de cité et droit des étrangers</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celle-ci ne peut pas déduire un droit à une autorisation de séjour de l'art. 42 al. 1 LEtr ni de l'art. 49 LEtr. Reste l'art. 50 al. 1 LEtr qui subordonne la prolongation de son autorisation de séjour à certaines conditions dont se prévaut la recourante. En pareilles circonstances, il convient d'admettre un droit de recourir sous l'angle de l' art. 83 let . c ch. 2 LTF. Les enfants de la recourante peuvent également se prévaloir d'un droit découlant de l' art. 8 CEDH pour vivre avec leur mère. Le point de savoir si c'est à juste titre que les autorités cantonales ont nié la réalisation des conditions des art. 50 LEtr et 8 CEDH relève du droit de fond et non de la recevabilité (arrêt 2C_997/2011 du 3 avril 2012 consid. 1.1).</w:t>
      </w:r>
    </w:p>
    <w:p>
      <w:r>
        <w:rPr>
          <w:b/>
        </w:rPr>
        <w:t>E. 2</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Au demeurant la recourante se prévaut uniquement de l'art. 50 al. 1 let. b LEtr.</w:t>
      </w:r>
    </w:p>
    <w:p>
      <w:r>
        <w:rPr>
          <w:b/>
        </w:rPr>
        <w:t>E. 3.1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137 II 345 consid. 3.2.1 p. 348;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rPr>
          <w:b/>
        </w:rPr>
        <w:t>E. 3.2</w:t>
      </w:r>
    </w:p>
    <w:p>
      <w:r>
        <w:t>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 ATF 136 II 1 consid. 4 et 5 p. 2 ss).</w:t>
      </w:r>
    </w:p>
    <w:p>
      <w:r>
        <w:rPr>
          <w:b/>
        </w:rPr>
        <w:t>E. 3.3</w:t>
      </w:r>
    </w:p>
    <w:p>
      <w:r>
        <w:t>Selon la jurisprudence actuelle, la mort du conjoint ne constitue en revanche pas un motif conduisant nécessairement à la prolongation de l'autorisation en vertu de l'art. 50 al. 1 let. b LEtr. Il convient plutôt de déterminer sur la base des circonstances de l'espèce si l'on est en présence d'un cas de rigueur ( ATF 137 II 1 ), en particulier de celles qui ont prévalu avant et pendant le mariage, jusqu'à sa dissolution en raison du décès. La situation de l'étranger après le décès doit aussi être prise en compte. Ces éléments jouent un rôle important pour établir la volonté réelle des conjoints d'officialiser l'intensité des liens qui les unissaient et évaluer l'importance des conséquences qui découlent du décès du conjoint suisse sur la vie privée et familiale de l'étranger ( ATF 137 II 345 ). Force est de constater, selon l'expérience de la vie et le cours ordinaire des choses, que le lien conjugal est, d'une manière générale, bien réel et intense, au point que le décès du conjoint constitue l'un des événements majeurs de la vie de l'autre conjoint, d'autant plus grave et considérable qu'il a lieu dans un contexte migratoire. C'est la raison pour laquelle la jurisprudence doit être précisée en ce sens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w:t>
      </w:r>
    </w:p>
    <w:p>
      <w:r>
        <w:rPr>
          <w:b/>
        </w:rPr>
        <w:t>E. 3.4</w:t>
      </w:r>
    </w:p>
    <w:p>
      <w:r>
        <w:t>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w:t>
      </w:r>
    </w:p>
    <w:p>
      <w:r>
        <w:rPr>
          <w:b/>
        </w:rPr>
        <w:t>E. 3.5</w:t>
      </w:r>
    </w:p>
    <w:p>
      <w:r>
        <w:t>En l'espèce, l'instance précédente a refusé la poursuite du séjour parce que le mariage n'avait duré qu'un peu plus de deux ans et parce la réintégration de la recourante dans son pays d'origine n'était pas compromise. Ce raisonnement viole le droit fédéral en tant qu'il refuse la poursuite du séjour de la recourante en Suisse sans s'exprimer sur l'existence de circonstances particulières qui pourraient conduire à un tel refus. Au contraire, dans son recours en matière de droit public, la recourante se prévaut des circonstances pénibles liées au cancer puis au décès de son mari, notamment du fait qu'elle l'avait épaulé durant toute sa fin de vie, ce qui serait attesté par des lettres de sa belle-famille. Comme ces faits ne ressortent pas de l'arrêt attaqué, ils sont irrecevables ( art. 99 al.1 LTF ). Ils ne peuvent être pas être pris en considération par le Tribunal fédéral ( art. 105 al. 1 LTF ). Ils devront en revanche l'être, après renvoi de la cause, par l'instance précédente qui, à défaut de circonstances particulières (cf. consid. 3.3 et 3.4 ci-dessus) résultant d'un complément d'instruction, devra accorder une autorisation de séjour à la recourante.</w:t>
      </w:r>
    </w:p>
    <w:p>
      <w:r>
        <w:rPr>
          <w:b/>
        </w:rPr>
        <w:t>E. 3.6</w:t>
      </w:r>
    </w:p>
    <w:p>
      <w:r>
        <w:t>Les enfants de la recourante invoquent le droit au regroupement familial avec une personne ayant le droit de séjourner de manière durable en Suisse, tel que déduit de l' art. 8 CEDH . Dans la mesure où leur mère ne disposait pas d'un tel droit, aux termes de l'arrêt attaqué, le Tribunal cantonal n'a pas examiné cette question, qui devra l'être si, au vu du résultat de l'instruction complémentaire, la recourante est autorisée à poursuivre son séjour en Suisse en application de l'art. 50 al. 1 let. b LEtr.</w:t>
      </w:r>
    </w:p>
    <w:p>
      <w:r>
        <w:rPr>
          <w:b/>
        </w:rPr>
        <w:t>E. 4</w:t>
      </w:r>
    </w:p>
    <w:p>
      <w:r>
        <w:t>Le recours doit ainsi être admis, l'arrêt du 28 octobre 2011 annulé et la cause renvoyée à l'instance précédente pour instruction complémentaire et nouvelle décision dans le sens des considérants. Il n'est pas perçu d'émoluments de justice, le Service de la population du canton de Vaud ayant agi dans l'exercice de ses attributions officielles sans que son intérêt patrimonial ne soit en cause ( art. 66 al. 4 LTF ). Les recourants, qui ont obtenu gain de cause,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