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991/2013 vom 8. April 2014</w:t>
      </w:r>
    </w:p>
    <w:p>
      <w:r>
        <w:t>Bundesgericht, 2014-04-08, DE</w:t>
      </w:r>
    </w:p>
    <w:p>
      <w:r>
        <w:rPr>
          <w:b/>
        </w:rPr>
        <w:t xml:space="preserve">Quelle: </w:t>
      </w:r>
      <w:r>
        <w:t>https://mcp.opencaselaw.ch/entscheid/bger_2C_991_2013</w:t>
      </w:r>
    </w:p>
    <w:p>
      <w:r>
        <w:t>FR: TF 2C 991/2013 du 8 avril 2014</w:t>
      </w:r>
    </w:p>
    <w:p>
      <w:r>
        <w:t>IT: TF 2C 991/2013 del 8 aprile 2014</w:t>
      </w:r>
    </w:p>
    <w:p>
      <w:pPr>
        <w:pStyle w:val="Heading2"/>
      </w:pPr>
      <w:r>
        <w:t>Regeste</w:t>
      </w:r>
    </w:p>
    <w:p>
      <w:r>
        <w:t>Niederlassungsbewilligung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grundsätzlich zulässig, ungeachtet davon, ob sie auf einem Rechtsanspruch beruht ( BGE 135 II 1 E. 1.2.1 S. 4; Urteile 2C_207/2014 vom 6. März 2014 E. 2.1; 2C_235/2012 vom 13. März 2013 E. 1.1).</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Neue tatsächliche Vorbringen und Beweismittel sind im bundesgerichtlichen Verfahren grundsätzlich unzulässig ( Art. 99 BGG ). Auf die beiden Schreiben und weitere Belege, die nach dem angefochtenen Entscheid erstellt wurden und die der Beschwerdeführer mit seiner Beschwerde eingereicht hat, kann nicht weiter eingegangen werden. Es handelt sich um unzulässige Noven.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w:t>
      </w:r>
    </w:p>
    <w:p>
      <w:r>
        <w:rPr>
          <w:b/>
        </w:rPr>
        <w:t>E. 3</w:t>
      </w:r>
    </w:p>
    <w:p>
      <w:r>
        <w:t>Der Beschwerdeführer bestreitet einzig die Interessenabwägung und Verhältnismässigkeitsprüfung, wie sie die Vorinstanz vorgenommen hat. Entgegen seinen Ausführungen hat die Vorinstanz die widerstreitenden Interessen sorgsam gewichtet, in zulässiger Weise gegeneinander abgewogen und den Widerruf der Niederlassungsbewilligung des Beschwerdeführers zurecht als verhältnismässig erachtet:</w:t>
      </w:r>
    </w:p>
    <w:p>
      <w:r>
        <w:rPr>
          <w:b/>
        </w:rPr>
        <w:t>E. 3.1</w:t>
      </w:r>
    </w:p>
    <w:p>
      <w:r>
        <w:t>Der Beschwerdeführer wurde rechtskräftig wegen Raubes und Hausfriedensbruchs zu einer Freiheitsstrafe von drei Jahren verurteilt, davon die Hälfte bedingt. Er hatte sein Opfer mit einer Faustfeuerwaffe bewaffnet im Schlaf überrascht, es mit Klebeband gefesselt und unter Waffengewalt genötigt, einen Tresor zu öffnen, um eine erhebliche Beute zu ergattern. Der Raubüberfall dauerte knapp eine Stunde und das Opfer war in grosser Angst. Die Tat sollte offenbar der Tilgung von Spielschulden dienen. Das Obergericht sprach von einer hohen kriminellen Energie des Beschwerdeführers und von einem schweren Verschulden. Entgegen der Ansicht des Beschwerdeführers vermag der Umstand, dass er nur ein Delikt verübt hat, das zu einer längerfristigen Freiheitsstrafe führte (Art. 63 Abs. 1 lit. a i.V.m. Art. 62 lit. b AuG), das erhebliche öffentliche Interesse an der Beendigung seines Aufenthalts nicht zu relativieren (vgl. BGE 137 II 297 E. 2.1 S. 299); das Verwaltungsgericht durfte diesbezüglich auch generalpräventiven Überlegungen Rechnung tragen (vgl. BGE 130 II 176 E. 4.2 - E. 4.4 S. 185 ff.; Urteile 2C_218/2011 vom 4. Januar 2012 E. 2; 2C_963/2012 vom 1. April 2013 E. 5.1.3).</w:t>
      </w:r>
    </w:p>
    <w:p>
      <w:r>
        <w:rPr>
          <w:b/>
        </w:rPr>
        <w:t>E. 3.2</w:t>
      </w:r>
    </w:p>
    <w:p>
      <w:r>
        <w:t>Der Beschwerdeführer ist Vater eines im Jahr 1997 geborenen Kindes. Die Vorinstanz hat festgestellt, dass die Mutter des Kindes über das alleinige Sorgerecht verfügt. Das Kind lebt mit der Mutter und ihrem neuen Lebenspartner. Wie vor der Vorinstanz macht der Beschwerdeführer zwar geltend, er "nehme am Leben seines Kindes teil" und sei wann immer möglich seinen Unterstützungspflichten nachgekommen; ebenso hätten "mehrere Besuche in der Haftanstalt" stattgefunden. Die Vorinstanz durfte vor dem Hintergrund der schweren Delinquenz und seinen Ausführungen indes offenlassen, ob die Beziehung zu seinem Kind ein übliches Mass erreicht und er dieses signifikant unterstützt ( BGE 139 I 315 E. 2.4 ff. S. 320 ff. mit Hinweisen). Auch seine Rüge, wonach er ein sehr gutes Verhältnis zu seiner ehemaligen Gattin und ihrem Lebenspartner pflege, und eine Ausreise "Auswirkungen" auf seine heutige Partnerin hätte, vermag ihm keinen Anwesenheitsanspruch zu verleihen ( BGE 135 I 143 E. 1.3.2 und 3.1 S. 146 und 148; Urteile 2C_326/2013 vom 20. November 2013 E. 5.1; 2C_1026/2011 vom 23. Juli 2012 E. 4.3; 2C_702/2011 vom 23. Februar 2012 E. 3).</w:t>
      </w:r>
    </w:p>
    <w:p>
      <w:r>
        <w:rPr>
          <w:b/>
        </w:rPr>
        <w:t>E. 3.3</w:t>
      </w:r>
    </w:p>
    <w:p>
      <w:r>
        <w:t>Der Beschwerdeführer reiste im Alter von 24 Jahren in die Schweiz ein. Gegen seine Ausweisung spricht zwar der Umstand, dass er sich seit vielen Jahren hier aufhält; trotz der langen Aufenthaltsdauer liegt aufgrund der schweren Straffälligkeit indes keine gelungene Integration vor. Der Beschwerdeführer war in der Schweiz zudem immer wieder arbeitslos und erheblich verschuldet, sodass er auch wirtschaftlich nicht als integriert gelten kann. Demgegenüber hat er sich bis ins Erwachsenenalter in seinem Heimatstaat aufgehalten und ist mit den sozio-kulturellen Gegebenheiten wie auch mit der Sprache seiner Heimat vertraut. Er unterhält gemäss den vorinstanzlichen Feststellungen Beziehungen zu seinem Herkunftsland Israel, wo er über zahlreiche Verwandte, darunter seinen Vater und sechs Geschwister, verfügt. Er bringt zwar vor, in Israel wegen seines muslimischen Glaubens "ganz allgemein" diskriminiert zu werden. Inwiefern ihm eine Rückkehr in seine Heimat und in die dortigen Verhältnisse mit Bezug auf seine konkrete Situation tatsächlich unzumutbar wäre, substanziiert er jedoch nicht (vgl. Urteile 2C_873/2012 vom 28. März 2013 E. 4.2.3; 2C_695/2012 vom 28. Januar 2013 E. 3.2.3). Sein Vorbringen, wonach das wirtschaftliche Fortkommen in seinem Herkunftsland schwieriger sein werde, kann im Rahmen der Überprüfung des Widerrufs nicht entscheidend sein (vgl. Urteile 2C_695/2012 vom 28. Januar 2013 E. 3.2.3; 2C_1029/2011 vom 10. April 2012 E. 3.3.2 mit Hinweisen). Zwar sind die privaten Interessen des Beschwerdeführers nach einem längeren Aufenthalt in der Schweiz nicht unbedeutend; sie vermögen jedoch das gewichtige öffentliche Interesse an der Beendigung des Aufenthalts aufgrund der Delinquenz nicht zu überwiegen.</w:t>
      </w:r>
    </w:p>
    <w:p>
      <w:r>
        <w:rPr>
          <w:b/>
        </w:rPr>
        <w:t>E. 4</w:t>
      </w:r>
    </w:p>
    <w:p>
      <w:r>
        <w:t>Die Beschwerde ist demnach unbegründet und abzuweisen. Dem Verfahrensausgang entsprechend sind die bundesgerichtlichen Kosten dem Beschwerdeführer aufzuerlegen ( Art. 66 Abs. 1 BGG ). Sein Gesuch um unentgeltliche Rechtspflege muss als aussichtslos gelten und ist abzuweisen.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