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990/2018 vom 27. September 2019</w:t>
      </w:r>
    </w:p>
    <w:p>
      <w:r>
        <w:t>Bundesgericht, 2019-09-27, DE</w:t>
      </w:r>
    </w:p>
    <w:p>
      <w:r>
        <w:rPr>
          <w:b/>
        </w:rPr>
        <w:t xml:space="preserve">Quelle: </w:t>
      </w:r>
      <w:r>
        <w:t>https://mcp.opencaselaw.ch/entscheid/bger_2C_990_2018</w:t>
      </w:r>
    </w:p>
    <w:p>
      <w:r>
        <w:t>FR: TF 2C 990/2018 du 27 septembre 2019</w:t>
      </w:r>
    </w:p>
    <w:p>
      <w:r>
        <w:t>IT: TF 2C 990/2018 del 27 settembre 2019</w:t>
      </w:r>
    </w:p>
    <w:p>
      <w:pPr>
        <w:pStyle w:val="Heading2"/>
      </w:pPr>
      <w:r>
        <w:t>Regeste</w:t>
      </w:r>
    </w:p>
    <w:p>
      <w:r>
        <w:t>Nichtverlängerung der Aufenthaltsbewilligung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S. 179).</w:t>
      </w:r>
    </w:p>
    <w:p>
      <w:r>
        <w:rPr>
          <w:b/>
        </w:rPr>
        <w:t>E. 1.2</w:t>
      </w:r>
    </w:p>
    <w:p>
      <w:r>
        <w:t>Der Beschwerdeführer beruft sich auf das Recht auf Achtung des Privatlebens nach Art. 8 EMRK . Er macht geltend, dass er seit fast zehn Jahren in der Schweiz Aufenthalt habe und hier gut integriert sei. Im Lichte der jüngsten Rechtsprechung des Bundesgerichts ( BGE 144 I 266 E. 3.9 S. 278 f.) erscheint ein Anwesenheitsanspruch angesichts der behaupteten Aufenthaltsdauer als in vertretbarer Weise geltend gemacht; ob er tatsächlich besteht, ist im Rahmen der materiellen Beurteilung zu prüfen ( BGE 136 II 177 E. 1.1 S. 179).</w:t>
      </w:r>
    </w:p>
    <w:p>
      <w:r>
        <w:rPr>
          <w:b/>
        </w:rPr>
        <w:t>E. 1.3</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Der Beschwerdeführer ist zur Beschwerde legitimiert ( Art. 89 Abs. 1 BGG ). Auf die Beschwerde ist einzutreten.</w:t>
      </w:r>
    </w:p>
    <w:p>
      <w:r>
        <w:rPr>
          <w:b/>
        </w:rPr>
        <w:t>E. 1.4</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1.5</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wird er dieser Anforderung nicht gerecht, bleibt es beim vorinstanzlich festgestellten Sachverhalt ( BGE 140 III 16 E. 1.3.1 S. 18).</w:t>
      </w:r>
    </w:p>
    <w:p>
      <w:r>
        <w:rPr>
          <w:b/>
        </w:rPr>
        <w:t>E. 2</w:t>
      </w:r>
    </w:p>
    <w:p>
      <w:r>
        <w:t>Der Beschwerdeführer beruft sich auf den Schutz des Privatlebens nach Art. 8 EMRK .</w:t>
      </w:r>
    </w:p>
    <w:p>
      <w:r>
        <w:rPr>
          <w:b/>
        </w:rPr>
        <w:t>E. 2.1</w:t>
      </w:r>
    </w:p>
    <w:p>
      <w:r>
        <w:t>Die EMRK verschafft keinen Anspruch auf Einreise und Aufenthalt oder auf einen Aufenthaltstitel in einem bestimmten Staat. 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Es ist in erster Linie Sache des Gesetzgebers, im Rahmen einer demokratischen und pluralistischen Auseinandersetzung darüber zu befinden, inwiefern und unter welchen Voraussetzungen es sich im Rahmen der Ausländer-und Einwanderungspolitik rechtfertigt, Bewilligungsansprüche einzuräumen ( Art. 164 Abs. 1 lit. c und Art. 190 BV ; BGE 144 I 266 E. 3.2 S. 272).</w:t>
      </w:r>
    </w:p>
    <w:p>
      <w:r>
        <w:rPr>
          <w:b/>
        </w:rPr>
        <w:t>E. 2.2</w:t>
      </w:r>
    </w:p>
    <w:p>
      <w:r>
        <w:t>Eine ausländerrechtliche Fernhaltemassnahme kann das Recht auf Privatleben nach Art. 8 EMRK verletzen, namentlich bei Ausländern der zweiten Generation,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 BGE 144 II 1 E. 6.1 S. 13; 130 II 281 E. 3.2.1 S. 286; 126 II 377 E. 2c S. 384 ff.; 120 Ib 16 E. 3b S. 22). Im vom Beschwerdeführer zitierten Urteil BGE 144 I 266 hat das Bundesgericht diese Rechtsprechung wie folgt präzisiert: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 BGE 144 I 266 E. 3.9 S. 278 f.).</w:t>
      </w:r>
    </w:p>
    <w:p>
      <w:r>
        <w:rPr>
          <w:b/>
        </w:rPr>
        <w:t>E. 2.3</w:t>
      </w:r>
    </w:p>
    <w:p>
      <w:r>
        <w:t>Im Zeitpunkt des vorinstanzlichen Urteils war der Beschwerdeführer seit neun Jahren und zwei Monaten in der Schweiz anwesend gewesen. Während einem Jahr und neun Monaten war sein Aufenthalt prozessual bedingt, war seine Aufenthaltsbewilligung doch bereits Ende 2016 abgelaufen. Da der Aufenthalt auch inklusive dieser Zeitspanne seit Ablauf der Bewilligung bereits relativ deutlich unter zehn Jahren bleibt, kann jedenfalls nicht gesagt werden, dass der rechtmässige Aufenthalt des Beschwerdeführers in der Schweiz insgesamt die Dauer von rund zehn Jahren gemäss der zitierten Rechtsprechung erreichte. Die Nichterneuerung der Aufenthaltsbewilligung könnte den Anspruch auf Achtung des Privatlebens folglich nur verletzen, sofern die Integration des Beschwerdeführers besonders ausgeprägt war.</w:t>
      </w:r>
    </w:p>
    <w:p>
      <w:r>
        <w:rPr>
          <w:b/>
        </w:rPr>
        <w:t>E. 2.4.1</w:t>
      </w:r>
    </w:p>
    <w:p>
      <w:r>
        <w:t>Die Vorinstanz hat festgestellt, dass der Beschwerdeführer weiterhin stark in den traditionellen Anschauungen seines Kulturkreises und seiner Rechtsordnung verhaftet sei. Insbesondere stünden seine Anschauungen bezüglich seiner Rechte als Mann beziehungsweise der Pflichten der Frauen in markantem Widerspruch zum schweizerischen Recht und den hiesigen Wertvorstellungen. Die Vorinstanz stützte diese Würdigung unter anderem auf die Aussagen der Ehefrau des Beschwerdeführers und seiner aktuellen Partnerin, welche diese gegenüber der Polizei und den Behörden gemacht hatten, sowie auf E-Mails und Eingaben des Beschwerdeführers. Nach den glaubwürdigen Aussagen und Berichten der Ehefrau etwa habe der Beschwerdeführer ihr gegenüber physische und sexuelle Gewalt (Schlag; ein Glas nachgeworfen; Vergewaltigung) sowie starken psychischen Druck (sexuelle Demütigung; Verbot, Emotionen zu zeigen; Beschimpfung) ausgeübt. Auch seine neue Partnerin habe sich derweil aufgrund des Auftretens und der psychischen Manipulationen des Beschwerdeführers offenbar nicht mehr getraut, die gemeinsame Wohnung ohne seine Zustimmung zu verlassen. Die Vorinstanz kam unter diesen Umständen zum Schluss, dass die Integration des Beschwerdeführers zu wünschen übrig lasse. Dies gelte umso mehr, als von ihm als Imam ausländerrechtlich erwartet werde, dass er als Vermittler zwischen den Kulturen agiere, sich besonders gut integriere und die schweizerische Rechtsordnung und die gesellschaftlichen Wertvorstellungen nicht nur achte, sondern vorlebe. Schliesslich gelte es auch zu berücksichtigen, dass der Beschwerdeführer erst mit 26 Jahren in die Schweiz gezogen und seit seinem Zuzug häufig in den Kosovo gereist sei. Es deute alles darauf hin, dass er im Kosovo nach wie vor gut integriert sei.</w:t>
      </w:r>
    </w:p>
    <w:p>
      <w:r>
        <w:rPr>
          <w:b/>
        </w:rPr>
        <w:t>E. 2.4.2</w:t>
      </w:r>
    </w:p>
    <w:p>
      <w:r>
        <w:t>Der Beschwerdeführer beschränkt sich darauf, die einzelnen Tatsachen in einem für ihn günstigeren Licht zu würdigen. So macht er etwa geltend, die Aussagen seiner Ehefrau seien alleine durch die Scheidungsauseinandersetzung motiviert und daher unglaubwürdig. Hingegen zeigt der Beschwerdeführer nicht auf, dass die Sachverhaltsfeststellung offensichtlich unrichtig gewesen wären. Damit bleibt es für das Bundesgericht beim Sachverhalt, wie ihn die Vorinstanz festgestellt hat ( Art. 97 Abs. 1 und Art. 105 Abs. 1 und Abs. 2 BGG ; vgl. oben E. 1.5).</w:t>
      </w:r>
    </w:p>
    <w:p>
      <w:r>
        <w:rPr>
          <w:b/>
        </w:rPr>
        <w:t>E. 2.4.3</w:t>
      </w:r>
    </w:p>
    <w:p>
      <w:r>
        <w:t>Auch die rechtliche Würdigung der Vorinstanz ist nicht zu beanstanden. Zu Recht weist sie darauf hin, dass der Beschwerdeführer aufgrund seiner Vorbildfunktion als Imam besonders strengen Integrationsanforderungen gerecht werden muss (vgl. Art. 7 Abs. 1 der Verordnung vom 24. Oktober 2007 über die Integration von Ausländerinnen und Ausländern [aVIntaA]; in Kraft bis 31. Dezember 2018; seit 1. Januar 2019 geregelt in Art. 26a Abs. 1 des Bundesgesetzes vom 16. Dezember 2005 über die Ausländerinnen und Ausländer und über die Integration [AIG; SR 142.20] und Art. 22a der Verordnung vom 24. Oktober 2007 über Zulassung, Aufenthalt und Erwerbstätigkeit [VZAE; SR 142.201]). Es bestehen diverse Anhaltspunkte dafür, dass der Beschwerdeführer mit dem gesellschaftlichen und rechtlichen Wertesystem in der Schweiz nicht vertraut ist oder es nicht respektiert. Dies gilt insbesondere für die in der Verfassung verankerte Gleichberechtigung von Frau und Mann ( Art. 8 Abs. 3 BV ). Unter diesen Vorzeichen kann keine Rede davon sein, dass die Integration des Beschwerdeführers hierzulande besonders ausgeprägt sei.</w:t>
      </w:r>
    </w:p>
    <w:p>
      <w:r>
        <w:rPr>
          <w:b/>
        </w:rPr>
        <w:t>E. 2.4.4</w:t>
      </w:r>
    </w:p>
    <w:p>
      <w:r>
        <w:t>Hat sich der Beschwerdeführer weniger als rund zehn Jahre rechtmässig in der Schweiz aufgehalten und ist seine Integration nicht besonders ausgeprägt, sind keine besonderen Gründe erforderlich, um die Verlängerung der Aufenthaltsbewilligung zu verweigern (vgl. BGE 144 I 266 E. 3.9 S. 278 f. e contrario). Soweit die Aufenthaltsbeendigung vorliegend überhaupt einen Eingriff in das Recht auf Achtung des Privatlebens darstellt, wäre dieser Eingriff jedenfalls durch das Interesse an einer Steuerung der Zuwanderung bzw. an der Erhaltung eines ausgewogenen Verhältnisses zwischen schweizerischer und ausländischer Wohnbevölkerung gerechtfertigt, zumal diese öffentlichen Interessen das private Interesse des Beschwerdeführers am Verbleib überwiegen. Es ist demnach keine Verletzung des Rechts auf Achtung des Privatlebens gemäss Art. 8 EMRK erkennbar.</w:t>
      </w:r>
    </w:p>
    <w:p>
      <w:r>
        <w:rPr>
          <w:b/>
        </w:rPr>
        <w:t>E. 2.5</w:t>
      </w:r>
    </w:p>
    <w:p>
      <w:r>
        <w:t>Andere Grundrechte macht der Beschwerdeführer nicht geltend, sodass sie vom Bundesgericht nicht zu prüfen sind ( Art. 106 Abs. 2 BGG ). Eine gesetzliche Grundlage für einen Aufenthaltsanspruch, die das Bundesgericht vom Amtes wegen berücksichtigen könnte ( Art. 106 Abs. 1 BGG ), ist nicht erkennbar. Das Urteil der Vorinstanz erweist sich somit als mit Bundes- und Völkerrecht vereinbar.</w:t>
      </w:r>
    </w:p>
    <w:p>
      <w:r>
        <w:rPr>
          <w:b/>
        </w:rPr>
        <w:t>E. 3</w:t>
      </w:r>
    </w:p>
    <w:p>
      <w:r>
        <w:t>Die Beschwerde ist unbegründet und abzuweisen. Bei diesem Verfahrensausgang trägt der unterliegende Beschwerdeführer die Kosten des bundesgerichtlichen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