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982/2015 vom 20. Juli 2016</w:t>
      </w:r>
    </w:p>
    <w:p>
      <w:r>
        <w:t>Bundesgericht, 2016-07-20, FR</w:t>
      </w:r>
    </w:p>
    <w:p>
      <w:r>
        <w:rPr>
          <w:b/>
        </w:rPr>
        <w:t xml:space="preserve">Quelle: </w:t>
      </w:r>
      <w:r>
        <w:t>https://mcp.opencaselaw.ch/entscheid/bger_2C_982_2015</w:t>
      </w:r>
    </w:p>
    <w:p>
      <w:r>
        <w:t>FR: TF 2C 982/2015 du 20 juillet 2016</w:t>
      </w:r>
    </w:p>
    <w:p>
      <w:r>
        <w:t>IT: TF 2C 982/2015 del 20 luglio 2016</w:t>
      </w:r>
    </w:p>
    <w:p>
      <w:pPr>
        <w:pStyle w:val="Heading2"/>
      </w:pPr>
      <w:r>
        <w:t>Regeste</w:t>
      </w:r>
    </w:p>
    <w:p>
      <w:r>
        <w:t>Révocation de l'autorisation d'établissement | Droit de cité et droit des étrangers</w:t>
      </w:r>
    </w:p>
    <w:p>
      <w:pPr>
        <w:pStyle w:val="Heading2"/>
      </w:pPr>
      <w:r>
        <w:t>Erwägungen</w:t>
      </w:r>
    </w:p>
    <w:p>
      <w:r>
        <w:rPr>
          <w:b/>
        </w:rPr>
        <w:t>E. 1.1</w:t>
      </w:r>
    </w:p>
    <w:p>
      <w:r>
        <w:t>Le recours en matière de droit public est recevable contre les décisions relatives, comme en l'espèce, à une autorisation d'établissement parce qu'il existe en principe un droit au maintien de cette autorisation ( ATF 135 II 1 consid. 1.2.1 p. 4). La présente cause ne tombe ainsi pas sous le coup de l' art. 83 let . c ch. 2 LTF. Le Secrétariat d'Etat a par ailleurs qualité pour recourir devant le Tribunal fédéral ( art. 89 al. 2 let. a LTF et art. 14 al. 2 de l'ordonnance fédérale du 17 novembre 1999 sur l'organisation du Département fédéral de justice et police [Org DFJP; RS 172.213.1]). Le recourant conclut uniquement à l'annulation de l'arrêt attaqué. Des conclusions purement cassatoires ne sont en principe pas suffisantes ( art. 107 al. 2 LTF ). Dès lors que l'on comprend, à la lecture du mémoire, qu'en demandant l'annulation de l'arrêt attaqué le recourant conclut implicitement au rétablissement de la décision du 31 juillet 2013 du Département de la sécurité et, partant, à la révocation de l'autorisation d'établissement de l'intimé, il convient de ne pas se montrer trop formaliste et d'entrer en matière sur le recours (cf. ATF 137 II 313 consid. 1.3 p. 317; 133 Il 409 consid. 1.4 p. 414 s.).</w:t>
      </w:r>
    </w:p>
    <w:p>
      <w:r>
        <w:rPr>
          <w:b/>
        </w:rPr>
        <w:t>E. 1.2</w:t>
      </w:r>
    </w:p>
    <w:p>
      <w:r>
        <w:t>Au surplus, le recours remplit les conditions des art. 42 al. 2 et 82 ss LTF .</w:t>
      </w:r>
    </w:p>
    <w:p>
      <w:r>
        <w:rPr>
          <w:b/>
        </w:rPr>
        <w:t>E. 2</w:t>
      </w:r>
    </w:p>
    <w:p>
      <w:r>
        <w:t>Il n'est pas contesté que la condition de la peine privative de longue durée de l'art. 63 al. 1 let. a LEtr en lien avec l'art. 62 let. b de la loi fédérale du 16 décembre 2005 sur les étrangers (LEtr ou la loi sur les étrangers; RS 142.20), qui permet la révocation de l'autorisation d'établissement, est remplie, l'intimé ayant été condamné à une peine privative de liberté de trente mois.</w:t>
      </w:r>
    </w:p>
    <w:p>
      <w:r>
        <w:rPr>
          <w:b/>
        </w:rPr>
        <w:t>E. 3</w:t>
      </w:r>
    </w:p>
    <w:p>
      <w:r>
        <w:t>Le recourant soutient que la pesée des intérêts effectuée par l'instance précédente viole le droit fédéral et aurait dû la conduire à révoquer l'autorisation d'établissement de l'intimé. Seule est en cause la proportionnalité de la mesure. A cet égard, l'intimé se prévaut de l' art. 8 par. 1 CEDH dans une motivation dont il est douteux qu'elle soit conforme aux exigences en la matière (cf. art. 106 al. 2 LTF et ATF 141 IV 249 consid. 1.3.1 p. 253; 139 I 229 consid. 2.2 p. 232). Cette question, ainsi que celle de savoir si l'intimé bénéficie du droit ancré à l' art. 8 par. 1 CEDH , supportent de rester indécises. En effet, la garantie offerte peut en tout état être restreinte en application de l' art. 8 par. 2 CEDH ; à cet égard, l'examen sous l'angle de cet article se confond avec celui imposé par l'art. 96 LEtr et suppose une pesée de tous les intérêts en présence ( ATF 139 I 16 consid. 2.2.2 p. 20; 135 II 377 consid. 4.3 p. 381), comme exposé ci-dessous.</w:t>
      </w:r>
    </w:p>
    <w:p>
      <w:r>
        <w:rPr>
          <w:b/>
        </w:rPr>
        <w:t>E. 3.1</w:t>
      </w:r>
    </w:p>
    <w:p>
      <w:r>
        <w:t>La révocation de l'autorisation d'établissement ne se justifie que si la pesée globale des intérêts à effectuer fait apparaître la mesure comme proportionnée (cf. ATF 139 I 16 consid. 2.2.1 p. 19; 135 II 377 consid. 4.2 p. 380; arrêt 2C_655/2011 du 7 février 2012 consid. 10.1). Exprimé de manière générale à l' art. 5 al. 2 Cst. et découlant également de l'art. 96 LEtr, invoqué par le recourant, le principe de la proportionnalité exige que la mesure prise par l'autorité soit raisonnable et nécessaire pour atteindre le but d'intérêt public ou privé poursuivi (cf. ATF 136 I 87 consid. 3.2 p. 91 s.; 135 II 377 consid. 4.2 p. 380). Lors de cet examen, il y a lieu de prendre en considération la gravité de la faute commise, le temps écoulé depuis l'infraction, le comportement de l'auteur pendant cette période, le degré de son intégration, la durée du séjour en Suisse, ainsi que le préjudice que l'intéressé et sa famille auraient à subir du fait de la mesure ( ATF 139 I 16 consid. 2.2.1 p. 19; 135 II 377 consid. 4.3 p. 381). La peine infligée par le juge pénal est le premier critère servant à évaluer la gravité de la faute et à procéder à la pesée des intérêts (arrêts 2C_910/2015 du 11 avril 2016 consid. 5.2). 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Le comportement correct de l'étranger durant l'exécution de sa peine ne permet pas sans autre de conclure à sa reconversion durable ( ATF 134 II 10 consid. 4.3 p. 24). La durée de présence en Suisse d'un étranger constitue un autre critère très important. Plus cette durée est longue, plus les conditions pour prononcer l'expulsion administrative doivent être appréciées restrictivement (cf. ATF 135 II 377 consid. 4.4 et 4.5 p. 382 s.). La révocation de l'autorisation d'établissement d'un étranger qui séjourne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 ATF 139 I 16 consid. 2.2.1 p. 19 ss; 139 I 31 consid. 2.3.1 p. 33 ss; 130 II 281 consid. 3.2.2 p. 287).</w:t>
      </w:r>
    </w:p>
    <w:p>
      <w:r>
        <w:rPr>
          <w:b/>
        </w:rPr>
        <w:t>E. 3.2</w:t>
      </w:r>
    </w:p>
    <w:p>
      <w:r>
        <w:t>La Cour de justice a estimé que, compte tenu de la réitération d'infractions commises entre 1999 et le mois de mai 2011, ainsi que de la gravité particulière de celles qui ont donné lieu à l'arrêt du 18 octobre 2010 de la chambre pénale, à savoir l'inceste et le délit manqué d'actes d'ordre sexuel avec un enfant, l'intérêt à éloigner l'intéressé ne faisait aucun doute. Toutefois, l'intérêt privé de l'intimé à demeurer en Suisse était également important, celui-ci ayant toujours vécu à Genève, ville où il avait tous ses proches, à savoir son père et la famille de la compagne de celui-ci, ainsi que des amis; il était au bénéfice d'un emploi stable; il n'avait pas le moindre lien avec le Chili, si ce n'est la nationalité et une grand-mère de 80 ans qu'il n'avait jamais rencontrée; le dossier attestait d'efforts de réintégration et, à tout le moins depuis le début de l'année 2013, l'intimé avait accompli un important travail sur lui-même, afin notamment de contenir ses pulsions, et avait arrêté sa consommation de stupéfiants et d'alcool qui l'avait conduit par le passé à commettre des infractions.</w:t>
      </w:r>
    </w:p>
    <w:p>
      <w:r>
        <w:rPr>
          <w:b/>
        </w:rPr>
        <w:t>E. 3.3.1</w:t>
      </w:r>
    </w:p>
    <w:p>
      <w:r>
        <w:t>Le recourant souligne à bon droit que la jurisprudence se montre extrêmement rigoureuse en cas d'infractions contre l'intégrité sexuelle. Or, en l'espèce, l'intimé a été condamné pour inceste sur sa soeur adolescente et a tenté de s'en prendre à un enfant après s'être introduit dans une chambre d'hôpital. Si, lors de la commission de l'inceste, il était sous l'emprise de la cocaïne, tel n'était pas le cas lors du second délit: une responsabilité entière a été reconnue même s'il était sous une légère influence de l'alcool. Le jugement du 18 octobre 2010 de la chambre pénale mentionne au demeurant qu'il n'avait fait preuve d'aucune empathie à l'égard de ses victimes et semblait ne pas avoir saisi la nature et la portée de ses agissements. L'intimé s'est, au surplus, rendu coupable d'une attaque à main armée d'un magasin de tabac, avec une responsabilité restreinte, à savoir un type d'infraction avec lequel le Tribunal fédéral se montre également très sévère. De plus, en sus de la lourde condamnation à trente mois de réclusion pour des infractions particulièrement graves et de celle de six mois avec sursis du 6 août 2002 pour l'attaque susmentionnée, l'intimé a fait l'objet de quatre autres condamnations pénales. Comme le relève le recourant, toutes les condamnations portent sur des faits commis durant le délai d'épreuve fixé dans le jugement pénal précédent, démontrant la difficulté de l'intéressé à s'amender, même si cette difficulté doit être mise en relation avec ses problèmes de dépendance. La prise de conscience par l'intimé de la gravité des faits perpétrés est en outre douteuse puisque, lors de son audition par la Cour de justice le 27 mars 2015, il parlait des "bêtise " commises dont il imputait la responsabilité aux substances consommées. A cet égard, la Cour de justice semble ne pas avoir retenu un risque de récidive, bien que les infractions entrent dans la liste de celles qui imposent d'examiner avec rigueur le risque de récidive. Dans ce cadre, il convient de relever que le bien juridique menacé est extrêmement important puisqu'il s'agit de l'intégrité sexuelle; or, le Tribunal fédéral se montre particulièrement rigoureux en présence d'infractions de ce type (cf. ATF 137 II 297 consid. 3.3 p. 303 s.; cf. également art. 121 al. 3 let. a Cst. ); le degré de certitude quant à l'évolution positive de l'intimé doit ainsi être d'autant plus élevé. Il faut tout d'abord constater que, si la consommation de drogue et d'alcool ont joué un rôle dans la perpétration des infractions, la responsabilité de l'intimé a été jugée entière en rapport avec le délit manqué d'actes d'ordre sexuel avec un enfant. Ainsi, toutes les infractions commises ne l'ont pas été sous l'emprise de la drogue ou de l'alcool. Ce fait relativise l'abstinence de l'intéressé, dont celui-ci se prévaut, même si elle est à relever. A cet égard, il faut constater que l'intimé a consommé des stupéfiants en 2012 pendant trois semaines alors qu'il était suivi par une institution médicale et qu'il n'est abstinent que depuis février 2013, ce qui est relativement récent s'agissant de l'abandon d'une addiction. Il bénéficie encore d'un suivi thérapeutique au sein d'un service d'addictologie hospitalier. Finalement, il faut encore relever que l'évolution positive de l'intimé (et le fait qu'il ait su gérer la séparation d'avec son amie) doit être relativisée compte tenu, d'une part, des contrôles et du suivi thérapeutique imposés et, d'autre part, du fait que le délai d'épreuve fixé à cinq ans dans le jugement du 17 juin 2011 vient d'arriver à échéance. En outre, l'intéressé souligne en vain que l'avertissement qui lui a été adressé remonte à 2002 et qu'il n'en a plus reçu jusqu'à la révocation de son autorisation de séjour; cela ne signifie notamment pas, comme il le voudrait, que l'intérêt public à l'éloigner de Suisse ne soit plus d'actualité. Au contraire, il ressort des considérations ci-dessus qu'un risque de récidive, même minime, existe, malgré l'amélioration du comportement de l'intéressé, le recul nécessaire pour évaluer cette amélioration sur le long terme faisant défaut. Or, la jurisprudence en matière de droit des étrangers considère que lors d'infractions pénales graves même un risque faible de récidive n'a pas à être toléré, sous réserve de liens personnels ou familiaux prépondérants.</w:t>
      </w:r>
    </w:p>
    <w:p>
      <w:r>
        <w:rPr>
          <w:b/>
        </w:rPr>
        <w:t>E. 3.3.2</w:t>
      </w:r>
    </w:p>
    <w:p>
      <w:r>
        <w:t>En ce qui concerne l'intérêt privé de l'intimé à demeurer en Suisse, il faut retenir que celui-ci y est né et y séjourne ainsi depuis 34 ans; il a effectué toute sa scolarité obligatoire en Suisse, ainsi que son apprentissage d'étancheur. Son père, qui est malade et que l'intimé aide dans les tâches de tous les jours, l'amie de celui-ci et la fille de celle-ci, que l'intimé considère comme sa demi-soeur, sont également domiciliés dans notre pays. Il n'a en revanche plus de contact avec sa mère et sa soeur. Il est séparé de son amie, avec laquelle il a néanmoins gardé contact, et n'a pas d'enfant; il entretient une relation proche avec un ami d'enfance mais ne fréquente plus ses anciens copains pour éviter une rechute dans la drogue et l'alcool. Ainsi, bien que l'intimé soit né en Suisse et y ait vécu toute sa vie, il ne s'y est pas intégré socialement. En revanche, son intégration professionnelle est bonne puisqu'il a achevé une formation professionnelle et est au bénéfice d'un contrat de travail de durée indéterminée, depuis le 18 février 2013, auprès d'une entreprise où il est très apprécié; son revenu oscille de 5'400 fr. à 6'400 fr. suivant les mois. On ne saurait sous-estimer les difficultés auxquelles l'intimé serait confronté en cas de renvoi vers le Chili, pays où il ne s'est jamais rendu et où sa seule famille consiste en une grand-mère de 80 ans qu'il n'a jamais rencontrée. Un tel renvoi constituerait, à n'en pas douter, une situation difficile pour celui-ci. Cependant, compte tenu des actes répréhensibles en cause, ces éléments ne sont pas suffisants pour faire obstacle à la révocation de son autorisation d'établissement. Sa grand-mère pourra, le cas échéant, lui apporter le soutien et l'aide nécessaires. De plus, le fait qu'il parle espagnol, même s'il n'écrit pas cette langue, et qu'il a une formation d'étancheur qu'il pourra mettre à profit dans ce pays sont des éléments qui faciliteront son intégration, éléments auxquels il faut ajouter que l'intimé est, à 34 ans, encore jeune, ce qui constitue un élément positif pour entreprendre une vie nouvelle. Il sied de mentionner qu'il pourra néanmoins déposer une nouvelle demande d'autorisation de séjour à l'échéance du délai d'interdiction d'entrée en Suisse commençant à courir à la date d'entrée en force de la décision de révocation de son autorisation d'établissement (art. 67 al. 3 LEtr).</w:t>
      </w:r>
    </w:p>
    <w:p>
      <w:r>
        <w:rPr>
          <w:b/>
        </w:rPr>
        <w:t>E. 3.4</w:t>
      </w:r>
    </w:p>
    <w:p>
      <w:r>
        <w:t>En conclusion, les faits reprochés, extrêmement graves, la peine infligée, ainsi que la multiplication des infractions commises par l'intimé, célibataire et sans enfant, conduisent à faire primer l'intérêt public à l'éloigner de Suisse sur son intérêt privé à y demeurer. Dans ces conditions, la Cour de justice a violé le droit fédéral en confirmant l'annulation de la révocation de l'autorisation d'établissement de l'intimé. La pesée des intérêts commandée par l' art. 8 par. 2 CEDH étant analogue à celle requise par le droit interne, il apparaît que l'intérêt public à l'éloignement de celui-ci l'emporte aussi sous cet angle.</w:t>
      </w:r>
    </w:p>
    <w:p>
      <w:r>
        <w:rPr>
          <w:b/>
        </w:rPr>
        <w:t>E. 4</w:t>
      </w:r>
    </w:p>
    <w:p>
      <w:r>
        <w:t>Compte tenu de ce qui précède, le recours est admis et l'arrêt attaqué annulé. La décision du 31 juillet 2013 du Département de la sécurité est rétablie. Succombant, l'intimé doit supporter les frais judiciaires ( art. 66 al. 1 LTF ). Aucun dépens ne sera alloué ( art. 68 al. 1 et 3 LTF ). La cause sera en outre renvoyée à la Cour de justice afin qu'elle fixe à nouveau les frais et dépens de la procédure cantonale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