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2C_981/2021 vom 8. Dezember 2022</w:t>
      </w:r>
    </w:p>
    <w:p>
      <w:r>
        <w:t>Bundesgericht, 2022-12-08, FR</w:t>
      </w:r>
    </w:p>
    <w:p>
      <w:r>
        <w:rPr>
          <w:b/>
        </w:rPr>
        <w:t xml:space="preserve">Quelle: </w:t>
      </w:r>
      <w:r>
        <w:t>https://mcp.opencaselaw.ch/entscheid/bger_2C_981_2021</w:t>
      </w:r>
    </w:p>
    <w:p>
      <w:r>
        <w:t>FR: TF 2C_981/2021 du 8 décembre 2022</w:t>
      </w:r>
    </w:p>
    <w:p>
      <w:r>
        <w:t>IT: TF 2C_981/2021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SA,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doit pas notifier directement une décision finale à une personne habilitée à recourir, si celle-ci, résidente et contribuable suisse, est aisément localisable.</w:t>
      </w:r>
    </w:p>
    <w:p>
      <w:r>
        <w:t>Ces questions ont été traitées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la recourante 1. Il a en outre estimé que, contrairement à ce que cette société faisait valoir, l'Administration fédérale n'avait pas violé l' art. 7 let . c LAAF en donnant suite à la demande d'assistance administrative du 11 mai 2016.</w:t>
      </w:r>
    </w:p>
    <w:p>
      <w:r>
        <w:t>S'agissant du recourant 2, le Tribunal administratif fédéral a jugé qu'il n'avait pas qualité pour agir contre la décision finale du 7 octobre 2020 et que son recours était partant irrecevable. Pour parvenir à cette conclusion, les juges précédents ont d'abord retenu qu'il avait été valablement informé de l'existence de la procédure d'assistance administrative par publication dans la Feuille fédérale du 26 juillet 2016 et qu'il s'était également vu valablement notifier une décision finale par voie édictale en date du 12 mai 2020. Or, faute de recours de sa part, cette décision était entrée en force. Par conséquent, il ne pouvait pas contester la décision finale du 7 octobre 2020, car cette décision, qui ne concernait que la recourante 1, ne contenait aucune instruction nouvelle visant à produire des effets juridiques à son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 it d'être entendu ( art. 29 al. 2 Cst. ) du recourant 2 et violé l' art. 14 LAAF en jugeant que l'Administration fédérale pouvait valablement recourir à la voie édictale, tant pour l'informer de l'ouverture de la procédure d'assistance administrative que pour lui notifier une décision finale. Ils font aussi valoir que le Tribunal administratif fédéral a violé le droit d'être entendu du recourant 2 en refusant de lui reconnaître la qualité pour recourir contre la décision du 7 octobre 2020.</w:t>
      </w:r>
    </w:p>
    <w:p>
      <w:r>
        <w:t>Il convient par conséquent de commencer par vérifier si, sous l'angle du droit d'être entendu, l'Administration fédérale pouvait recourir à la voie édictale tout d'abord pour informer le recourant 2 de l'existence de la procédure d'assistance administrative (ci-après consid. 8.3) et, par la suite, pour lui notifier une décision finale (ci-après consid. 8.4). Si tel est le cas, il faudra alors se demander si le fait que le recourant 2 n'ait pas recouru contre la décision finale notifiée par voie édictale justifiait de déclarer irrecevable son recours contre la décision finale du 7 octobre 2020 notifiée à la recourante 1 (ci-après consid. 8.5).</w:t>
      </w:r>
    </w:p>
    <w:p>
      <w:r>
        <w:rPr>
          <w:b/>
        </w:rPr>
        <w:t>E. 8.1</w:t>
      </w:r>
    </w:p>
    <w:p>
      <w:r>
        <w:t>Au préalable, il faut préciser que, dès lors que les griefs de violation du droit d'être entendu sont invoqués en lien avec les notifications par voie édictale, seuls le recourant 2 peut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 recourant 2 ne fait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le recourant 2 pour l'informer de l'existence de la procédure avant de procéder par publication dans la Feuille fédérale le 26 juillet 2016.</w:t>
      </w:r>
    </w:p>
    <w:p>
      <w:r>
        <w:rPr>
          <w:b/>
        </w:rPr>
        <w:t>E. 8.4</w:t>
      </w:r>
    </w:p>
    <w:p>
      <w:r>
        <w:t>Le recourant 2 reproche ensuite au Tribunal administratif fédéral d'avoir violé son droit d'être entendu en retenant que l'Administration fédérale était fondée à lui notifier une décision finale par voie édictale le 12 mai 2020. Il soutient que l'Administration fédérale aurait pu aisément le localiser puisqu'il était alors résident et contribuable suisse, ou alors contacter le représentant de la recourante 1 pour savoir s'il le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du recourant 2 était en France ( art. 105 al. 2 LTF ). Par ailleurs, cette personne n'a pas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avec la France, elle n'était d'emblée pas possible (cf. arrêt 2C_772/2021 du 8 novembre 2022 consid. 9.4.3). En outre, comme on l'a vu (supra consid. 8.4.1), on ne peut pas reprocher à l'Administration fédérale de ne pas avoir cherché à déterminer le domicile de cette personne. Dans ces circonstances, l'Administration fédérale était fondée à lui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au recourant 2 une décision finale par publication dans la Feuille fédérale du 12 mai 2020.</w:t>
      </w:r>
    </w:p>
    <w:p>
      <w:r>
        <w:rPr>
          <w:b/>
        </w:rPr>
        <w:t>E. 8.5</w:t>
      </w:r>
    </w:p>
    <w:p>
      <w:r>
        <w:t>Le recourant 2 reproche encore au Tribunal administratif fédéral d'avoir violé son droit d'être entendu en déclarant irrecevable son recours contre la décision finale du 7 octobre 2020 que l'Administration fédérale a notifiée à la recourante 1.</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un compte bancaire dont le recourant 2 était ayant droit économique et la recourante 1 la titulaire. Elle a notifié cette décision finale au recourant 2 le 12 mai 2020. Faute de recours de sa part dans le délai de 30 jours, qui court dès le lendemain de la publication dans la Feuille fédérale ( art. 20 al. 1 PA ; arrêt 2C_772/2021 du 8 novembre 2022 consid. 9.4.3), cette décision est devenue définitive à la mi-juin 2020. Par conséquent, le recourant 2 pouvait pas recourir contre la même décision finale, notifiée le 7 octobre 2020 à la recourante 1 (cf. les développements figurant dans l'arrêt 2C_772/2021 précité consid. 9.5.3).</w:t>
      </w:r>
    </w:p>
    <w:p>
      <w:r>
        <w:rPr>
          <w:b/>
        </w:rPr>
        <w:t>E. 8.5.4</w:t>
      </w:r>
    </w:p>
    <w:p>
      <w:r>
        <w:t>C'est donc à bon droit et sans violer le droit d'être entendu du recourant 2 que le Tribunal administratif fédéral a déclaré irrecevable, car tardif, le recours qu'il a formé contre la décision finale du 7 octobre 2020.</w:t>
      </w:r>
    </w:p>
    <w:p>
      <w:r>
        <w:rPr>
          <w:b/>
        </w:rPr>
        <w:t>E. 9</w:t>
      </w:r>
    </w:p>
    <w:p>
      <w:r>
        <w:t>Sur le fond, la recourante 1, dont le Tribunal administratif fédéral a examiné le recours au fond, fait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la recourante 1 se plaint d'une violation de l' art. 7 let . c LAAF.</w:t>
      </w:r>
    </w:p>
    <w:p>
      <w:r>
        <w:rPr>
          <w:b/>
        </w:rPr>
        <w:t>E. 10</w:t>
      </w:r>
    </w:p>
    <w:p>
      <w:r>
        <w:t>Ce qui précède conduit au rejet du recours.</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