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2C_980/2012 vom 8. Mai 2013</w:t>
      </w:r>
    </w:p>
    <w:p>
      <w:r>
        <w:t>Bundesgericht, 2013-05-08, DE</w:t>
      </w:r>
    </w:p>
    <w:p>
      <w:r>
        <w:rPr>
          <w:b/>
        </w:rPr>
        <w:t xml:space="preserve">Quelle: </w:t>
      </w:r>
      <w:r>
        <w:t>https://mcp.opencaselaw.ch/entscheid/bger_2C_980_2012</w:t>
      </w:r>
    </w:p>
    <w:p>
      <w:r>
        <w:t>FR: TF 2C_980/2012 du 8 mai 2013</w:t>
      </w:r>
    </w:p>
    <w:p>
      <w:r>
        <w:t>IT: TF 2C_980/2012 del 8 maggio 2013</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in öffentlich-rechtlichen Angelegenheiten ist somit zulässig, soweit damit der Widerruf der Niederlassungsbewilligung angefochten wird.</w:t>
      </w:r>
    </w:p>
    <w:p>
      <w:r>
        <w:rPr>
          <w:b/>
        </w:rPr>
        <w:t>E. 1.2</w:t>
      </w:r>
    </w:p>
    <w:p>
      <w:r>
        <w:t>Der Beschwerdeführer hat am Verfahren vor der Vorinstanz teilgenommen. Er ist durch den angefochtenen Entscheid besonders berührt und hat ein schutzwürdiges Interesse an dessen Aufhebung oder Änderung. Gemäss Art. 89 Abs. 1 BGG ist er zur Beschwerde legitimiert.</w:t>
      </w:r>
    </w:p>
    <w:p>
      <w:r>
        <w:rPr>
          <w:b/>
        </w:rPr>
        <w:t>E. 1.3</w:t>
      </w:r>
    </w:p>
    <w:p>
      <w:r>
        <w:t>Auf die Beschwerde in öffentlich-rechtlichen Angelegenheiten betreffend den Widerruf der Niederlassungsbewilligung ist einzutreten.</w:t>
      </w:r>
    </w:p>
    <w:p>
      <w:r>
        <w:rPr>
          <w:b/>
        </w:rPr>
        <w:t>E. 2</w:t>
      </w:r>
    </w:p>
    <w:p>
      <w:r>
        <w:t>Gegen den kantonalen Wegweisungsentscheid ist die Beschwerde in öffentlich-rechtlichen Angelegenheiten ausgeschlossen ( Art. 83 lit. c Ziff. 4 BGG ) und die subsidiäre Verfassungsbeschwerde ( Art. 113 BGG ) steht nur offen, soweit sich die betroffene Person auf besondere verfassungsmässige Rechte berufen kann, die ihr unmittelbar ein rechtlich geschütztes Interesse im Sinn von Art. 115 lit. b BGG verschaffen ( BGE 137 II 305 E. 3.3 S. 310). In Bezug auf die Anrufung von Grundrechten gestützt auf Art. 116 BGG besteht eine qualifizierte Rüge- und Substanziierungspflicht ( Art. 117 BGG in Verbindung mit Art. 106 Abs. 2 BGG ); auf rein appellatorische Kritik am angefochtenen Entscheid tritt das Bundesgericht nicht ein ( BGE 133 II 396 E. 3.1 S. 399). Der Beschwerdeführer legt in keiner Weise dar, inwiefern der angefochtene Wegweisungsentscheid eines der in BGE 137 II 305 E. 3.3 genannten besonderen verfassungsmässigen Rechte verletzen würde. Auf die subsidiäre Verfassungsbeschwerde ist daher nicht einzutreten.</w:t>
      </w:r>
    </w:p>
    <w:p>
      <w:r>
        <w:rPr>
          <w:b/>
        </w:rPr>
        <w:t>E. 3.1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(vgl. BGE 136 II 304 E. 2.5 S. 314).</w:t>
      </w:r>
    </w:p>
    <w:p>
      <w:r>
        <w:rPr>
          <w:b/>
        </w:rPr>
        <w:t>E. 4</w:t>
      </w:r>
    </w:p>
    <w:p>
      <w:r>
        <w:t>Gemäss Art. 51 Abs. 1 lit. a AuG erlöschen die Ansprüche von Familienangehörigen von Schweizerinnen und Schweizern, wenn sie rechtsmissbräuchlich geltend gemacht werden, namentlich um Vorschriften dieses Gesetzes und seiner Ausführungsbestimmungen über die Zulassung und den Aufenthalt zu umgehen. Liegt im Zusammenhang mit dem Bewilligungsverfahren ein rechtsmissbräuchliches Verhalten vor, sind zugleich die Voraussetzungen für einen Widerruf der Bewilligung erfüllt (vgl. auch Urteil 2C_205/2010 vom 16. Juli 2010 E. 3.3); die Niederlassungsbewilligung kann diesfalls gestützt auf Art. 63 Abs. 1 lit. a AuG in Verbindung mit Art. 62 lit. a AuG widerrufen werden.</w:t>
      </w:r>
    </w:p>
    <w:p>
      <w:r>
        <w:rPr>
          <w:b/>
        </w:rPr>
        <w:t>E. 5.1</w:t>
      </w:r>
    </w:p>
    <w:p>
      <w:r>
        <w:t>Der Beschwerdeführer bringt im Wesentlichen vor, die Vorinstanz sei in willkürlicher Weise davon ausgegangen, er habe mit B.________ eine Scheinehe geführt; hierfür gebe es aber keine ausreichenden Anhaltspunkte. Zwar habe er - wenigstens offiziell - mehrere Jahre mit C.________ zusammengelebt und habe mit ihr vier gemeinsame Kinder, wovon zwei sogar nach der Heirat mit der Schweizerin B.________ gezeugt worden seien. Jedoch habe er - der Beschwerdeführer - C.________ lediglich als Geliebte und vor allem als Mutter seiner Kinder akzeptiert, nicht aber als Ehefrau. Tatsächlich habe er eigentlich stets von ihr getrennt gewohnt, in Antalya, wo er 1998 B.________ kennengelernt habe. Es sei Liebe auf den ersten Blick gewesen und sie hätten bald beschlossen zu heiraten. 2001 sei er dann in die Schweiz gekommen, wo er jahrelang glücklich mit seiner Schweizer Frau zusammengelebt und auch für ihren Lebensunterhalt gesorgt habe. Schliesslich sei es zur Ehekrise und zur Scheidung gekommen. Erst danach habe er sich mehr für C.________ zu interessieren begonnen, weil er erkannt habe, wie gut sie sich eigentlich um die gemeinsamen Kinder gekümmert habe. Deswegen habe er sie am 12. Januar 2010 geheiratet.</w:t>
      </w:r>
    </w:p>
    <w:p>
      <w:r>
        <w:rPr>
          <w:b/>
        </w:rPr>
        <w:t>E. 5.2</w:t>
      </w:r>
    </w:p>
    <w:p>
      <w:r>
        <w:t>Die Vorbringen des Beschwerdeführers entbehren jeglicher Glaubwürdigkeit, weshalb die Beschwerde im Verfahren nach Art. 109 Abs. 2 lit. a BGG zu erledigen ist.</w:t>
      </w:r>
    </w:p>
    <w:p>
      <w:r>
        <w:rPr>
          <w:b/>
        </w:rPr>
        <w:t>E. 5.3</w:t>
      </w:r>
    </w:p>
    <w:p>
      <w:r>
        <w:t>Zahlreiche Hinweise sprechen dafür, dass der Beschwerdeführer und B.________ nie die Absicht hatten, eine echte Ehegemeinschaft einzugehen. So fällt auf, dass der Beschwerdeführer - trotz "Liebe auf den ersten Blick" - erst zwei Jahre und acht Monate nach der Eheschliessung, am 19. August 2001, in die Schweiz einreiste und tags darauf um Erteilung einer Aufenthaltsbewilligung ersuchte. Seine zwei jüngeren Kinder wurden in den Jahren 2000 und 2001 geboren, also nach der Heirat mit B.________. Diese wiederum war im Zeitpunkt der Heirat von einem anderen Mann schwanger. Gegenüber der Einwohnerkontrolle gab sie am 29. Januar 1999 als Geburtsdatum des Beschwerdeführers den 28. September 1979 an. Weder Tag, Monat noch Jahr stimmten mit dem tatsächlichen Geburtsdatum überein; die Ehefrau schätzte ihren Ehemann achtdreiviertel Jahre jünger ein, als er wirklich war. Zu seinen Kindern in der Türkei pflegte der Beschwerdeführer regen Kontakt: Er besuchte sie in den Ferien, brachte ihnen Geschenke und unterstützte sie finanziell. Knapp fünf Jahre nach seiner Einreise in die Schweiz, Ende März 2006, verliess der Beschwerdeführer die eheliche Wohnung und liess sich am 13. Juni 2008, ein Jahr nach Erhalt der Niederlassungsbewilligung, von seiner Frau scheiden. Eineinhalb Jahre später heiratete er C.________.</w:t>
      </w:r>
    </w:p>
    <w:p>
      <w:r>
        <w:t>Die Vorinstanz hat aus diesem Ablauf zu Recht den Schluss gezogen, dass die Eheschliessung mit B.________ ausschliesslich der Erlangung einer Aufenthaltsbewilligung diente und somit rechtsmissbräuchlich war. Entgegen dem Vorbringen des Beschwerdeführers ändert der Umstand, dass er während vier Jahren mit seiner Ehefrau "an der gleichen Adresse" zusammengewohnt habe, daran nichts: Schon seit 1992, sechs Jahre vor seiner Heirat mit B.________, hatte der Beschwerdeführer mit C.________ ein Konkubinat geführt und zwei Kinder gezeugt; während seines Aufenthalts in der Schweiz dauerte diese Beziehung parallel zur Ehe mit B.________ fort, wobei der Verbindung zwei weitere Kinder entsprangen. Die Behauptung des Beschwerdeführers, er habe mit C.________ bis zur Scheidung keine echte Beziehung geführt, erweist sich vor diesem Hintergrund als Schutzbehauptung. Die Vorinstanz hat in diesem Zusammenhang zu Recht darauf hingewiesen, dass nicht ersichtlich sei, weshalb C.________ sich mit einer auf ihre biologische Mutterschaft reduzierten Rolle hätte abfinden sollen. Aufgrund der gesamten Umstände ist ohne Zweifel von einer Scheinehe auszugehen.</w:t>
      </w:r>
    </w:p>
    <w:p>
      <w:r>
        <w:t>Der Beschwerdeführer hat zudem den Migrationsbehörden die Existenz seiner Kinder in der Türkei verschwiegen. Diese Tatsache ist rechtserheblich; die Voraussetzungen des Widerrufs gemäss Art. 63 Abs. 1 lit. a AuG in Verbindung mit Art. 62 lit. a AuG sind auch aus diesem Grund erfüllt, wie die Vorinstanz zutreffend festgehalten hat.</w:t>
      </w:r>
    </w:p>
    <w:p>
      <w:r>
        <w:rPr>
          <w:b/>
        </w:rPr>
        <w:t>E. 5.4</w:t>
      </w:r>
    </w:p>
    <w:p>
      <w:r>
        <w:t>Die Vorinstanz hat sodann die Verhältnismässigkeit des Widerrufs zu Recht bejaht.</w:t>
      </w:r>
    </w:p>
    <w:p>
      <w:r>
        <w:t>Im Gegensatz zu dem, was der Beschwerdeführer vorbringt, liegt im Widerruf einer Niederlassungsbewilligung, welche durch eine Scheinehe erlangt worden war, durchaus ein öffentliches Interesse. Denn der Staat kann nicht dulden, dass Ansprüche rechtsmissbräuchlich geltend gemacht werden; die Anordnung der entsprechenden Rechtsfolgen steht im Dienst des Schutzes der Rechtsordnung, was ein öffentliches Interesse darstellt.</w:t>
      </w:r>
    </w:p>
    <w:p>
      <w:r>
        <w:t>Demgegenüber ist das private Interesse des Beschwerdeführers an einem Verbleib in der Schweiz gering: Zwar lebte er im Zeitpunkt des angefochtenen Urteils seit elf Jahren in der Schweiz, was eher zu seinen Gunsten spricht. Bei der Einreise war er aber bereits 30 Jahre alt und pflegte in den folgenden Jahren enge Beziehungen zur Türkei; somit ist er - entgegen seiner Behauptung - keinesfalls entwurzelt. Seine Integration in der Schweiz ist in beruflicher Hinsicht nicht sonderlich gut; nach den verbindlichen Feststellungen der Vorinstanz wies der Beschwerdeführer im Juli 2010 offene Verlustscheine im Betrag von ca. Fr. 34'277.-- aus. Die Vorinstanz vermutet aufgrund ihrer Sachverhaltsabklärung, dass der Beschwerdeführer nach der Gründung seiner Einzelfirma im Juni 2011 nicht allzu viele Aufträge zu akquirieren vermochte. Inwiefern diese Feststellung willkürlich sein soll, legt der Beschwerdeführer nicht dar; die blosse Behauptung, die vorinstanzliche Einschätzung sei aus der Luft gegriffen, genügt den Anforderungen an die qualifizierte Begründungspflicht (vgl. E. 3.2) nicht. Der Beschwerdeführer erklärt überdies nicht, inwiefern seine berufliche Tätigkeit ihn derart an die Schweiz binden würde, dass eine Rückkehr in die Türkei unzumutbar wäre. Nachdem seine Frau und seine Kinder dort leben, ist auch mit Blick auf seine persönliche Situation kein Interesse an einem Verbleib in der Schweiz ersichtlich. Der Widerruf der Niederlassungsbewilligung erweist sich somit als verhältnismässig.</w:t>
      </w:r>
    </w:p>
    <w:p>
      <w:r>
        <w:rPr>
          <w:b/>
        </w:rPr>
        <w:t>E. 5.5</w:t>
      </w:r>
    </w:p>
    <w:p>
      <w:r>
        <w:t>Nachdem die Voraussetzungen für den Widerruf der Niederlassungsbewilligung erfüllt sind und der Rechtsmissbrauch bzw. das Verschweigen wesentlicher Tatsachen gemäss Art. 62 lit. a AuG gleichermassen zum Widerruf bzw. zur Nichtverlängerung einer Aufenthaltsbewilligung führen würde, ist der Eventualantrag auf Erteilung einer Aufenthaltsbewilligung abzuweisen (vgl. auch Urteile 2C_254/2010 vom 15. Juli 2010 E. 4.3; 2C_733/2012 vom 24. Januar 2013 E. 10).</w:t>
      </w:r>
    </w:p>
    <w:p>
      <w:r>
        <w:rPr>
          <w:b/>
        </w:rPr>
        <w:t>E. 5.6</w:t>
      </w:r>
    </w:p>
    <w:p>
      <w:r>
        <w:t>Der Sachverhalt ist von der Vorinstanz vollständig und willkürfrei festgestellt worden. Für eine Rückweisung der Sache zur weiteren Abklärung besteht somit kein Anlass, so dass der entsprechende Subeventualantrag abzuweisen ist.</w:t>
      </w:r>
    </w:p>
    <w:p>
      <w:r>
        <w:rPr>
          <w:b/>
        </w:rPr>
        <w:t>E. 6</w:t>
      </w:r>
    </w:p>
    <w:p>
      <w:r>
        <w:t>Nach dem Gesagten ist die Beschwerde in öffentlich-rechtlichen Angelegenheiten abzuweisen und auf die subsidiäre Verfassungsbeschwerde nicht einzutreten. Der unterliegende Beschwerdeführer trägt die Kosten des Verfahrens ( Art. 66 Abs. 1 BGG ). Ausgangsgemäss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