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2C_97/2019 vom 20. Februar 2020</w:t>
      </w:r>
    </w:p>
    <w:p>
      <w:r>
        <w:t>Bundesgericht, 2020-02-20, FR</w:t>
      </w:r>
    </w:p>
    <w:p>
      <w:r>
        <w:rPr>
          <w:b/>
        </w:rPr>
        <w:t xml:space="preserve">Quelle: </w:t>
      </w:r>
      <w:r>
        <w:t>https://mcp.opencaselaw.ch/entscheid/bger_2C_97_2019</w:t>
      </w:r>
    </w:p>
    <w:p>
      <w:r>
        <w:t>FR: TF 2C_97/2019 du 20 février 2020</w:t>
      </w:r>
    </w:p>
    <w:p>
      <w:r>
        <w:t>IT: TF 2C_97/2019 del 20 febbraio 2020</w:t>
      </w:r>
    </w:p>
    <w:p>
      <w:pPr>
        <w:pStyle w:val="Heading2"/>
      </w:pPr>
      <w:r>
        <w:t>Erwägungen</w:t>
      </w:r>
    </w:p>
    <w:p>
      <w:r>
        <w:rPr>
          <w:b/>
        </w:rPr>
        <w:t>E. 1</w:t>
      </w:r>
    </w:p>
    <w:p>
      <w:r>
        <w:t>La voie du recours en matière de droit public est ouverte ( art. 82 let. a LTF ; cf. également art. 146 LIFD [RS 642.11] et 73 al. 1 de la loi fédérale du 14 décembre 1990 sur l'harmonisation des impôts directs des cantons et des communes [LHID; RS 642.14], la détermination du revenu imposable étant une matière harmonisée à l' art. 7 LHID ). Déposé en temps utile ( art. 100 LTF ) et en la forme prévue ( art. 42 LTF ) à l'encontre d'un arrêt final, rendu en dernière instance cantonale par un tribunal supérieur ( art. 86 al. 1 let . d LTF), par l'intéressée qui a la qualité pour recourir ( art. 89 al. 1 LTF ), le recours en matière de droit public est recevable ( art. 90 LTF ).</w:t>
      </w:r>
    </w:p>
    <w:p>
      <w:r>
        <w:rPr>
          <w:b/>
        </w:rPr>
        <w:t>E. 2</w:t>
      </w:r>
    </w:p>
    <w:p>
      <w:r>
        <w:t>Le point litigieux porte sur le prêt de 3'948'254 fr. octroyé, en faveur de B.A.________, par la société X.________ SA qui l'a totalement amorti lors de l'exercice comptable 2009. La recourante conteste que celui-ci constitue une prestation appréciable en argent.</w:t>
      </w:r>
    </w:p>
    <w:p>
      <w:r>
        <w:t>I. Impôt fédéral direct</w:t>
      </w:r>
    </w:p>
    <w:p>
      <w:r>
        <w:rPr>
          <w:b/>
        </w:rPr>
        <w:t>E. 3.1</w:t>
      </w:r>
    </w:p>
    <w:p>
      <w:r>
        <w:t>L'autorité précédente a exposé le droit applicable ( art. 20 al. 1 let . c LIFD), dont la notion de prestation appréciable en argent et la jurisprudence y relative ( ATF 143 IV 228 consid. 4.1 p. 231; 140 II 88 consid. 4.1 p. 92 et les arrêts cités), de façon correcte, de sorte qu'il y est renvoyé.</w:t>
      </w:r>
    </w:p>
    <w:p>
      <w:r>
        <w:rPr>
          <w:b/>
        </w:rPr>
        <w:t>E. 3.2</w:t>
      </w:r>
    </w:p>
    <w:p>
      <w:r>
        <w:t>A la suite de l'arrêt de renvoi du 6 mars 2018 du tribunal de céans, les juges précédents devaient établir si la recourante pouvait effectivement ignorer que son mari s'était octroyé un prêt. Ils ont procédé à des actes d'instruction relativement à la comptabilisation du prêt de 3'948'254 fr. Ils ont relevé que les auditions de témoins n'avaient apporté aucun élément nouveau permettant de remettre en question la qualification de prestation appréciable en argent. Le prêt avait été comptabilisé sous la dénomination "C/C débiteurs" et avait augmenté de 11'649 fr. en 2000 à 3'948'254 fr. en 2008, pour passer à 0 fr. en 2009. Selon lesdits juges, si la recourante ne s'était pas désintéressée de sa société, elle aurait dû constater que son époux s'était octroyé un prêt qu'il n'avait pas l'intention de rembourser (cf. infra consid. 4).</w:t>
      </w:r>
    </w:p>
    <w:p>
      <w:r>
        <w:t>La Cour de justice devait aussi établir dans quelle mesure la recourante avait la possibilité de mener la société à intenter action en enrichissement illégitime pour absence de cause à l'encontre de son époux. L'arrêt attaqué ne dit rien à ce sujet (cf. infra consid. 5).</w:t>
      </w:r>
    </w:p>
    <w:p>
      <w:r>
        <w:rPr>
          <w:b/>
        </w:rPr>
        <w:t>E. 4</w:t>
      </w:r>
    </w:p>
    <w:p>
      <w:r>
        <w:t>La recourante ne conteste pas l'existence du prêt mais elle soutient qu'elle en ignorait l'existence. Elle prétend n'avoir en aucune manière participé aux décisions de la société "dont elle n'était pas réellement l'actionnaire": son mari la gérait seul. Elle n'avait jamais participé aux assemblées générales et elle n'aurait pas non plus eu "la possibilité de conduire" ces assemblées. On ne pouvait dès lors lui reprocher de n'avoir pas eu connaissance du prêt en cause. Au regard de son absence d'implication, les conditions d'une prestation appréciable en argent ne seraient pas remplies.</w:t>
      </w:r>
    </w:p>
    <w:p>
      <w:r>
        <w:rPr>
          <w:b/>
        </w:rPr>
        <w:t>E. 4.1</w:t>
      </w:r>
    </w:p>
    <w:p>
      <w:r>
        <w:t>Il convient de tout d'abord relever que le mari de la recourante doit être considéré comme une personne proche de l'actionnaire. En effet, bien qu'ils soient séparés depuis 1990, les intéressés ont fondé de concert la société X.________ SA en 1996, la recourante en étant l'actionnaire unique et son époux l'administrateur unique. Il ressort, en outre, de l'audition de l'intéressée devant l'instance précédente, que celle-ci, prétendant n'avoir été qu'un prête-nom, a laissé son époux gérer la société comme il l'entendait. De plus, non seulement celui-ci en est resté l'administrateur jusqu'à sa dissolution, mais il a ensuite endossé la qualité de liquidateur, malgré les malversations dont se plaint la recourante. Une telle constellation ne s'explique que par le fait que l'unique membre du conseil d'administration était un proche de la recourante.</w:t>
      </w:r>
    </w:p>
    <w:p>
      <w:r>
        <w:rPr>
          <w:b/>
        </w:rPr>
        <w:t>E. 4.2</w:t>
      </w:r>
    </w:p>
    <w:p>
      <w:r>
        <w:t>Il est ensuite rappelé que l'assemblée générale des actionnaires possède le droit intransmissible d'approuver les comptes annuels, qui se composent du bilan, du compte de résultat et de l'annexe ( art. 958 al. 2 CO ), ainsi que de déterminer l'emploi du bénéfice résultant du bilan ( art. 698 al. 2 ch. 4 CO ). Elle détient également le droit intransmissible de donner décharge aux membres du conseil d'administration ( art. 698 al. 2 ch. 5 CO ). Ces droits sont inaliénables; cette caractéristique doit être comprise comme excluant toute délégation, en particulier en faveur du conseil d'administration; il s'agit d'un principe impératif du droit de la SA qu'est la séparation des pouvoirs entre l'assemblée générale et le conseil d'administration; en d'autres termes, la décision relative à la décharge doit impérativement et matériellement être prise par l'assemblée générale (HENRY PETER/FRANCESCA CAVADINI, Commentaire romand, Code des obligations II, 2e éd., 2017, n° 2 et 10 ad art. 698 CO ; cf. également DIETER DUBS/ROLAND TRUFFER, Basler Kommentar, Obligationenrecht II, 5e éd, n° 4 et 8 ss ad art. 698).</w:t>
      </w:r>
    </w:p>
    <w:p>
      <w:r>
        <w:t>En outre, si l'actionnaire peut se faire représenter à l'assemblée générale ( art. 689 al. 2 et 689c CO ), il ne peut pas s'y faire représenter par l'administrateur lorsque cette assemblée doit se prononcer sur la décharge à donner au conseil d'administration, et ce même si celui-ci représente les voix d'un actionnaire qui n'a pas coopéré à la gestion de la société (cf. art. 695 al. 1 CO ; ATF 128 III 142 consid. 3 p. 143); cet exclusion du droit de vote prévue à l' art. 695 al. 1 CO tend notamment à éviter les conflits d'intérêts dans le but de sauvegarder la capacité de fonctionner de la société et de protéger la minorité ( ATF 128 III 142 consid. 3b p. 145). Les décisions de décharge auxquelles ont participé des personnes sans droit de vote sont donc attaquables au sens de l' art. 706 CO (arrêt du 29 juin 2005 4C.107/2005 consid. 2.2).</w:t>
      </w:r>
    </w:p>
    <w:p>
      <w:r>
        <w:rPr>
          <w:b/>
        </w:rPr>
        <w:t>E. 4.3</w:t>
      </w:r>
    </w:p>
    <w:p>
      <w:r>
        <w:t>Il ressort de l'instruction menée par la Cour de justice que le prêt en cause figurait dans les comptes depuis 2000. Il y était comptabilisé dans les actifs, sous "C/C débiteurs"; il a augmenté au cours des ans pour passer de 11'649 fr. en 2000 à 3'948'254 fr. en 2008, ce qui représentait alors le 99,8% des actifs de la société, pour finalement être totalement amorti en 2009. Par conséquent, la recourante, actionnaire unique qui devait approuver les comptes de la société, tel que le lui impose la loi, pouvait constater l'existence de ce poste dans la comptabilité. Elle ne saurait, en conséquence, exciper du fait qu'elle n'était pas au courant des agissements de son mari, en particulier du prêt qu'il s'était accordé. En outre, un actionnaire qui remplit correctement son devoir légal et constate la présence d'un tel actif n'aurait pas approuvé les comptes ni donné décharge au conseil d'administration. Ce d'autant plus que la décharge peut avoir pour effet d'éteindre d'éventuelles prétentions en dommages et intérêts de la société à l'égard des personnes à qui elle est accordée pour le dommage causé à celle-ci (HENRY PETER/FRANCESCA CAVADINI, op. cit., n° 30 ad art. 698 CO ).</w:t>
      </w:r>
    </w:p>
    <w:p>
      <w:r>
        <w:t>De plus, au regard du principe de la séparation des pouvoirs entre l'assemblée générale et le conseil d'administration, la recourante ne pouvait pas abandonner le devoir d'approuver les comptes et de donner décharge à l'administrateur, à celui-ci. Elle ne pouvait pas non plus se faire représenter par lui à l'assemblée générale qui décidait cette décharge (cf. consid. 4.2) : B.A.________, administrateur unique, n'était pas en droit de participer, en tant que représentant de l'actionnaire unique, à la décision de l'assemblée générale lui donnant décharge.</w:t>
      </w:r>
    </w:p>
    <w:p>
      <w:r>
        <w:rPr>
          <w:b/>
        </w:rPr>
        <w:t>E. 4.4</w:t>
      </w:r>
    </w:p>
    <w:p>
      <w:r>
        <w:t>En ce qui concerne la société, sous l'angle du droit fiscal, lorsqu'un organe se fait verser ou fait verser à un tiers des prestations appréciables en argent, ces actes sont imputables à celle-ci ( art. 55 CC ), indépendamment de leur licéité et du point de savoir s'ils ont été effectués avec ou sans la volonté des autres organes ou des actionnaires (arrêts 2C_245/2018 c. 6.6.1; 2A.305/1993 in StE 1996 B 24.4 Nr. 40, traduit in RDAF 1997 II 594). A l'instar de ce qui vaut pour la société, il faut considérer que l'actionnaire qui abandonne ses droits intransmissibles à un membre unique du conseil d'administration, qui est un proche, doit se laisser imputer les décisions et les agissements de celui-ci. Dès lors, il ne saurait tirer argument de son ignorance et de son absence de volonté de retirer la totalité de la substance de la société. Il faut, ainsi, conclure de ces éléments que le prêt en cause repose sur le rapport de participation (causa societatis).</w:t>
      </w:r>
    </w:p>
    <w:p>
      <w:r>
        <w:rPr>
          <w:b/>
        </w:rPr>
        <w:t>E. 5</w:t>
      </w:r>
    </w:p>
    <w:p>
      <w:r>
        <w:t>Quant à la possibilité pour la recourante d'intenter action en enrichissement illégitime pour absence de cause à l'encontre de son époux, il est relevé ce qui suit.</w:t>
      </w:r>
    </w:p>
    <w:p>
      <w:r>
        <w:t>Est en cause un dommage subi par la société (et seulement indirectement par l'actionnaire dont les actions ne valent plus rien). S'il fallait considérer, in casu, qu'il en découlait des prétentions hors faillite, l' art. 756 CO octroie la légitimation active pour intenter action, non seulement à la société, mais également à l'actionnaire (qui ne peut agir qu'en paiement de dommages-intérêts à la société). En pratique, les actionnaires agissent lorsque les administrateurs omettent de le faire (HARALD BÄRTSCHI, in Jung/Kunz/Bärtschi, Gesellschaftsrecht, 2e éd., n° 347, p. 516; PETER BÖCKLI, Schweizer Aktienrecht, 4e éd., n° 225 s, p. 2446; CORBOZ/AUBRY GIRARDIN, Commentaire romand, n° 5 ss ad art. 756 CO p. 1452; GERICKE/ WALLER, Basler Kommentar, n° 5 ss ad art. 756 CO ). S'il s'agissait de prétentions dans la faillite, l' art. 757 al. 2 CO prévoit également la compétence de l'actionnaire, dans la mesure où l'administration de la faillite renonce à exercer le droit de demander le paiement à la société de dommages-intérêts. Partant, dès lors qu'in casu l'administrateur unique n'allait pas intenter action en enrichissement illégitime pour absence de cause à son propre égard, la recourante, actionnaire unique, pouvait agir. Peu importe les raisons pour lesquelles la recourante n'a pas procédé devant la justice; seul est relevant en l'espèce, en ce qui concerne la prestation appréciable en argent, le fait qu'elle se soit abstenue de poursuivre son époux. Une décision inverse ouvrirait la porte à tous les abus.</w:t>
      </w:r>
    </w:p>
    <w:p>
      <w:r>
        <w:rPr>
          <w:b/>
        </w:rPr>
        <w:t>E. 6</w:t>
      </w:r>
    </w:p>
    <w:p>
      <w:r>
        <w:t>Finalement, contrairement à ce que soutient la recourante, le caractère insolite du prêt était manifeste. Le prêt se montait à 3'948'254 fr. au 31 décembre 2008, ce qui représentait le 99,8% des actifs de la société. N'importe quel actionnaire unique qui doit approuver les comptes aurait demandé des explications sur un tel actif, ainsi que des pièces justificatives. La recourante aurait alors appris que le débiteur de ce prêt était son époux et que ce prêt n'avait pas fait l'objet d'un contrat avec des modalités de remboursement, ni de garantie. Le prêt a été totalement amorti en 2009 ce qui le rendait pour le moins insolite, puisqu'il a entraîné la liquidation de la société.</w:t>
      </w:r>
    </w:p>
    <w:p>
      <w:r>
        <w:rPr>
          <w:b/>
        </w:rPr>
        <w:t>E. 7</w:t>
      </w:r>
    </w:p>
    <w:p>
      <w:r>
        <w:t>Au regard de ce qui précède, les conditions d'une prestation appréciable en argent sont remplies. Partant, c'est à bon droit que le prêt accordé par la société à un proche de l'actionnaire unique a été repris et intégré dans le revenu imposable de cet actionnaire, à savoir la recourante, pour un montant de 2'368'952 fr. (somme représentant le 60% de la prestation, compte tenu de la réduction pour participation). Le recours est rejeté en tant qu'il concerne l'IFD.</w:t>
      </w:r>
    </w:p>
    <w:p>
      <w:r>
        <w:t>II. Impôts cantonal et communal</w:t>
      </w:r>
    </w:p>
    <w:p>
      <w:r>
        <w:rPr>
          <w:b/>
        </w:rPr>
        <w:t>E. 8</w:t>
      </w:r>
    </w:p>
    <w:p>
      <w:r>
        <w:t>La notion d'avantage appréciable en argent de l' art. 6 al. 1 let . c de l'ancienne loi genevoise du 22 septembre 2000 sur l'imposition des personne physiques / Objet de l'impôt - Assujettissement à l'impôt (aLIPP-I), en vigueur jusqu'au 31 décembre 2009, et applicable à la présente affaire qui se rapporte à une période fiscale antérieure à 2010 (cf. art. 72 al. 1 de la loi genevoise du 27 septembre 2009 sur l'imposition des personnes physiques [LIPP; RS/GE D 3 08]), est identique à celle prévue à l' art. 20 al. 1 let . c LIFD et est conforme à l' art. 7 al. 1 LHID . En outre, en droit cantonal genevois, la notion de prestation appréciable en argent en matière d'impôts directs cantonal et communal est traitée de manière identique à celle qui prévaut en matière d'IFD, ce qui n'est pas remis en cause par la recourante. Partant, la motivation développée en matière d'IFD s'applique mutatis mutandis aux ICC de la période fiscale 2009.</w:t>
      </w:r>
    </w:p>
    <w:p>
      <w:r>
        <w:t>En conséquence, le recours est également rejeté en ce qui concerne les ICC de ladite période.</w:t>
      </w:r>
    </w:p>
    <w:p>
      <w:r>
        <w:rPr>
          <w:b/>
        </w:rPr>
        <w:t>E. 9</w:t>
      </w:r>
    </w:p>
    <w:p>
      <w:r>
        <w:t>Il découle de ce qui précède que le recours est rejeté tant pour l'IFD que pour les ICC de la période fiscale 2009.</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