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2C_97/2007 vom 8. Juni 2007</w:t>
      </w:r>
    </w:p>
    <w:p>
      <w:r>
        <w:t>Bundesgericht, 2007-06-08, DE</w:t>
      </w:r>
    </w:p>
    <w:p>
      <w:r>
        <w:rPr>
          <w:b/>
        </w:rPr>
        <w:t xml:space="preserve">Quelle: </w:t>
      </w:r>
      <w:r>
        <w:t>https://mcp.opencaselaw.ch/entscheid/bger_2C_97_2007</w:t>
      </w:r>
    </w:p>
    <w:p>
      <w:r>
        <w:t>FR: TF 2C_97/2007 du 8 juin 2007</w:t>
      </w:r>
    </w:p>
    <w:p>
      <w:r>
        <w:t>IT: TF 2C_97/2007 del 8 giugno 2007</w:t>
      </w:r>
    </w:p>
    <w:p>
      <w:pPr>
        <w:pStyle w:val="Heading2"/>
      </w:pPr>
      <w:r>
        <w:t>Erwägungen</w:t>
      </w:r>
    </w:p>
    <w:p>
      <w:r>
        <w:rPr>
          <w:b/>
        </w:rPr>
        <w:t>E. 1</w:t>
      </w:r>
    </w:p>
    <w:p>
      <w:r>
        <w:t>Gegen letztinstanzliche kantonale Entscheide über sich auf das eidgenössische Anwaltsgesetz stützende Disziplinarsanktionen ist, da kein Ausschlussgrund gemäss Art. 83 BGG zum Zuge kommt, die Beschwerde in öffentlich-rechtlichen Angelegenheiten zulässig. Anfechtungsobjekt kann dabei nur der Entscheid der letzten kantonalen Instanz bilden (vgl. Art. 86 Abs. 1 lit. d BGG ). Das vorliegend vom Beschwerdeführer gestellte unrichtige Begehren (Aufhebung des erstinstanzlichen Entscheids der Anwaltskommission) ist in diesem Sinne umzudeuten.</w:t>
      </w:r>
    </w:p>
    <w:p>
      <w:r>
        <w:rPr>
          <w:b/>
        </w:rPr>
        <w:t>E. 2</w:t>
      </w:r>
    </w:p>
    <w:p>
      <w:r>
        <w:t>Was der Beschwerdeführer gegen die angefochtene Disziplinarsanktion vorbringen lässt, ist offensichtlich unbehelflich:</w:t>
      </w:r>
    </w:p>
    <w:p>
      <w:r>
        <w:rPr>
          <w:b/>
        </w:rPr>
        <w:t>E. 2.1</w:t>
      </w:r>
    </w:p>
    <w:p>
      <w:r>
        <w:t>Das Verwaltungsgericht hat die ehemalige Kanzleichefin im Rahmen der durchgeführten mündlichen Verhandlung angehört und aufgrund ihrer Aussagen das dem Beschwerdeführer vorgeworfene Verhalten (Betitelung der Kanzleichefin als "Schlampe") als erwiesen betrachtet. An diese tatsächliche Feststellung der Vorinstanz ist das Bundesgericht gebunden ( Art. 105 Abs. 1 BGG ), zumal der Sachverhaltsermittlung keine Mängel im Sinne von Art. 105 Abs. 2 BGG anhaften. Auf die Einvernahme der beiden während des betreffenden Telefongesprächs anwesenden Lehrlinge durfte das Gericht verzichten.</w:t>
      </w:r>
    </w:p>
    <w:p>
      <w:r>
        <w:rPr>
          <w:b/>
        </w:rPr>
        <w:t>E. 2.2</w:t>
      </w:r>
    </w:p>
    <w:p>
      <w:r>
        <w:t>Dass sich ein Anwalt nicht nur gegenüber seinem eigenen Klienten, sondern auch im Verkehr mit Behörden und Dritten korrekt zu verhalten hat und ehrverletzende Ausdrücke als Verstoss gegen Art. 12 lit. a BGFA geahndet werden können, entspricht der geltenden Rechtsprechung ( BGE 130 II 270 E. 3.2 S. 276; Urteil 2A.151/2003 vom 31. Juli 2003, in: SJ 2003 I S. 572, E. 2.2; Urteil 2A.168/2005 vom 6. September 2005, E. 2.2.3). Der vom Beschwerdeführer gegenüber der Kanzleichefin verwendete Ausdruck "Schlampe" ist klarerweise disziplinwidrig.</w:t>
      </w:r>
    </w:p>
    <w:p>
      <w:r>
        <w:rPr>
          <w:b/>
        </w:rPr>
        <w:t>E. 2.3</w:t>
      </w:r>
    </w:p>
    <w:p>
      <w:r>
        <w:t>Die Aufsichtsbehörde kann eine festgestellte Disziplinwidrigkeit auch unabhängig vom Vorliegen oder der Aufrechterhaltung einer Anzeige verfolgen. Der Umstand, dass die betroffene Kanzleichefin selber keine Anzeige erstattet hatte und der Bezirksamtmann-Stellvertreter seine Anzeige nach einem "klärenden Gespräch" mit dem Beschwerdeführer zurückzog, schliesst die aufsichtsrechtliche Weiterverfolgung des Vorfalls nicht aus. Ebensowenig kann von einer Verletzung des Verhältnismässigkeitsgebots gesprochen werden, wenn die Aufsichtsbehörde den verwendeten, grob ungehörigen Ausdruck durch eine Verwarnung des Beschwerdeführers geahndet hat. Es handelt sich dabei um die mildeste im Gesetz vorgesehene Disziplinarsanktion (vgl. Art. 17 Abs. 1 BGFA ), weshalb von einer Ermessensüberschreitung keine Rede sein kann.</w:t>
      </w:r>
    </w:p>
    <w:p>
      <w:r>
        <w:rPr>
          <w:b/>
        </w:rPr>
        <w:t>E. 3</w:t>
      </w:r>
    </w:p>
    <w:p>
      <w:r>
        <w:t>Als unbegründet erweist sich schliesslich auch die Rüge, das Verwaltungsgericht habe durch die Verweigerung der Bestellung eines unentgeltlichen Rechtsbeistands Art. 29 Abs. 3 BV verletzt: Wohl mag zutreffen, dass ein Rechtsanwalt sich in eigener Sache zweckmässigerweise durch einen Berufskollegen vertreten lässt, um eine unbefangene Wahrnehmung seiner Interessen sicherzustellen. Anspruch auf Bestellung eines unentgeltlichen Rechtsvertreters auf Kosten des Staates besteht jedoch nur, wenn die Beiordnung eines Rechtsanwalts zur Wahrung der Rechte des Betroffenen notwendig ist (vgl. BGE 130 I 180 E. 2.2 S. 182). Im vorliegenden Fall, wo es um eine geringfügige Disziplinarsanktion (Verwarnung) und um eine einfach gelagerte Beweisfrage ging, durfte das Verwaltungsgericht zulässigerweise davon ausgehen, dass diese Voraussetzung nicht erfüllt ist.</w:t>
      </w:r>
    </w:p>
    <w:p>
      <w:r>
        <w:rPr>
          <w:b/>
        </w:rPr>
        <w:t>E. 4</w:t>
      </w:r>
    </w:p>
    <w:p>
      <w:r>
        <w:t>Die Beschwerde in öffentlich-rechtlichen Angelegenheiten erweist sich damit als unbegründet. Da das Rechtsmittel nach dem Gesagten der erforderlichen Erfolgsaussicht entbehrte, ist dem gestellten Begehren um unentgeltliche Prozessführung und Verbeiständung nicht zu entsprechen ( Art. 64 BGG ). Der wirtschaftlichen Situation des Beschwerdeführers wird bei der Bemessung der Gerichtsgebühr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