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2C_979/2017 vom 20. November 2017</w:t>
      </w:r>
    </w:p>
    <w:p>
      <w:r>
        <w:t>Bundesgericht, 2017-11-20, FR</w:t>
      </w:r>
    </w:p>
    <w:p>
      <w:r>
        <w:rPr>
          <w:b/>
        </w:rPr>
        <w:t xml:space="preserve">Quelle: </w:t>
      </w:r>
      <w:r>
        <w:t>https://mcp.opencaselaw.ch/entscheid/bger_2C_979_2017</w:t>
      </w:r>
    </w:p>
    <w:p>
      <w:r>
        <w:t>FR: TF 2C_979/2017 du 20 novembre 2017</w:t>
      </w:r>
    </w:p>
    <w:p>
      <w:r>
        <w:t>IT: TF 2C_979/2017 del 20 novembre 2017</w:t>
      </w:r>
    </w:p>
    <w:p>
      <w:pPr>
        <w:pStyle w:val="Heading2"/>
      </w:pPr>
      <w:r>
        <w:t>Erwägungen</w:t>
      </w:r>
    </w:p>
    <w:p>
      <w:r>
        <w:rPr>
          <w:b/>
        </w:rPr>
        <w:t>E. 1</w:t>
      </w:r>
    </w:p>
    <w:p>
      <w:r>
        <w:t>Par arrêt du 23 octobre 2017, le Tribunal cantonal du canton de Fribourg a rejeté le recours que X.________, ressortissant de Guinée, a déposé contre la décision du Service de la population et des migrants du canton de Fribourg du 16 janvier 2017 refusant de délivrer une autorisation de séjour pour regroupement familial inversé. La question de savoir si l'intéressé pouvait entretenir des relations avec deux de ses enfants nés hors mariage, dont l'un au moins de nationalité suisse, pouvait demeurer ouverte. En effet, l'intéressé avait fait l'objet de plusieurs condamnations pénales, la plus récente lui infligeant, par jugement du 2 février 2016, une peine de 38 mois de privation de liberté notamment pour voies de fait commises sur sa partenaire alors enceinte ainsi que pour blanchiment d'argent et infractions grave à la LStup. A cela s'ajoutait qu'il s'était vu refuser une libération conditionnelle en raison des risques de récidive élevés. Cela suffisait à démontrer qu'il constituait une menace sérieuse pour la sécurité publique et conduisait à lui refuser une autorisation de séjour sous l'angle de l' art. 8 CEDH .</w:t>
      </w:r>
    </w:p>
    <w:p>
      <w:r>
        <w:rPr>
          <w:b/>
        </w:rPr>
        <w:t>E. 2</w:t>
      </w:r>
    </w:p>
    <w:p>
      <w:r>
        <w:t>Par courrier du 8 novembre 2017, X.________ demande au Tribunal fédéral, au moins implicitement, d'annuler l'arrêt rendu le 23 octobre 2017 par le Tribunal cantonal du canton de Fribourg et de lui octroyer une autorisation de séjour. Il expose une nouvelle fois les motifs pour lesquels il devrait obtenir une autorisation de séjour dont certains n'auraient pas été pris en considération dans l'arrêt attaqué.</w:t>
      </w:r>
    </w:p>
    <w:p>
      <w:r>
        <w:rPr>
          <w:b/>
        </w:rPr>
        <w:t>E. 3</w:t>
      </w:r>
    </w:p>
    <w:p>
      <w:r>
        <w:t>Selon l' art. 83 let . c ch. 2 et 5 LTF, le recours en matière de droit public est irrecevable contre les décisions en matière de droit des étrangers qui concernent une autorisation à laquelle ni le droit fédéral ni le droit international ne donnent droit</w:t>
      </w:r>
    </w:p>
    <w:p>
      <w:r>
        <w:t>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140 I 145 consid. 3.2 p. 147 s. et les références).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s. et les références).</w:t>
      </w:r>
    </w:p>
    <w:p>
      <w:r>
        <w:t>En l'espèce, l'instance précédente a correctement présenté le droit applicable et exposé de manière détaillée et convaincante les motifs pour lesquels le recourant ne peut pas se prévaloir de l' art. 8 CEDH aux fins de lui octroyer une autorisation de séjour en Suisse. Le recourant se borne à exposer une nouvelle fois les raisons pour lesquelles une autorisation de séjour devrait lui être accordée. Or, les points qu'il soulève, dans la mesure où ils se fondent sur des faits recevables ( Art. 99 et 105 al. 1 LTF ), ont été examinés et rejetés par l'instance précédente. Dans ces conditions, le recourant ne peut se prévaloir de manière soutenable du respect de la vie familiale garanti par l' art. 8 CEDH , de sorte que le recours en matière de droit public est irrecevable.</w:t>
      </w:r>
    </w:p>
    <w:p>
      <w:r>
        <w:rPr>
          <w:b/>
        </w:rPr>
        <w:t>E. 4</w:t>
      </w:r>
    </w:p>
    <w:p>
      <w:r>
        <w:t>Le recours est ainsi manifestement irrecevable ( art. 108 al. 1 let. a LTF ) et doit être traité selon la procédure simplifiée de l' art. 108 LTF , sans qu'il y ait lieu d'ordonner un échange d'écritures. Succombant, le recourant doit supporter les frais de la procédure fédérale ( art. 66 al. 1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