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2C_978/2011 vom 24. April 2012</w:t>
      </w:r>
    </w:p>
    <w:p>
      <w:r>
        <w:t>Bundesgericht, 2012-04-24, FR</w:t>
      </w:r>
    </w:p>
    <w:p>
      <w:r>
        <w:rPr>
          <w:b/>
        </w:rPr>
        <w:t xml:space="preserve">Quelle: </w:t>
      </w:r>
      <w:r>
        <w:t>https://mcp.opencaselaw.ch/entscheid/bger_2C_978_2011</w:t>
      </w:r>
    </w:p>
    <w:p>
      <w:r>
        <w:t>FR: TF 2C_978/2011 du 24 avril 2012</w:t>
      </w:r>
    </w:p>
    <w:p>
      <w:r>
        <w:t>IT: TF 2C_978/2011 del 24 aprile 2012</w:t>
      </w:r>
    </w:p>
    <w:p>
      <w:pPr>
        <w:pStyle w:val="Heading2"/>
      </w:pPr>
      <w:r>
        <w:t>Erwägungen</w:t>
      </w:r>
    </w:p>
    <w:p>
      <w:r>
        <w:rPr>
          <w:b/>
        </w:rPr>
        <w:t>E. 1.1</w:t>
      </w:r>
    </w:p>
    <w:p>
      <w:r>
        <w:t>L'arrêt attaqué concerne la taxation d'office de l'impôt cantonal et communal pour les années 2002 à 2006. Seules les périodes 2005 et 2006 sont encore litigieuses devant le Tribunal de céans. Dans cette mesure, la décision attaquée est finale (cf. art. 90 LTF ). Le recours est dirigé contre une décision rendue par un tribunal supérieur statuant en dernière instance cantonale (cf. art. 86 al. 1 let . d et al. 2 LTF). Déposé en temps utile (cf. art. 100 al. 1 LTF ) par le recourant qui a un intérêt digne de protection à son annulation ou à sa modification (cf. art. 89 al. 1 let. b et c LTF), il est en principe recevable.</w:t>
      </w:r>
    </w:p>
    <w:p>
      <w:r>
        <w:rPr>
          <w:b/>
        </w:rPr>
        <w:t>E. 1.2</w:t>
      </w:r>
    </w:p>
    <w:p>
      <w:r>
        <w:t>Comme la réclamation contre une taxation d'office relève du droit public et qu'aucune des exceptions prévues à l' art. 83 LTF n'est réalisée, la voie du recours en matière de droit public est ouverte en vertu de l' art. 82 let. a LTF . Ce domaine étant une matière harmonisée à l'art. 48 al. 2 de la loi fédérale sur l'harmonisation des impôts directs des cantons et des communes du 14 décembre 1990 (LHID; RS 642.14), la voie du recours en matière de droit public est ouverte en vertu de l' art. 73 al. 1 LHID (cf. ATF 134 II 186 consid. 1.1 p. 188).</w:t>
      </w:r>
    </w:p>
    <w:p>
      <w:r>
        <w:rPr>
          <w:b/>
        </w:rPr>
        <w:t>E. 1.3</w:t>
      </w:r>
    </w:p>
    <w:p>
      <w:r>
        <w:t>Le Tribunal fédéral applique le droit d'office ( art. 106 al. 1 LTF ) à l'état de fait constaté dans l'arrêt attaqué, sans être limité par les arguments du recourant ou par la motivation de l'autorité précédente ( ATF 133 II 249 consid. 1.4.1 p. 254, arrêt 5A_55/2007 du 14 août 2007 consid. 2.2).</w:t>
      </w:r>
    </w:p>
    <w:p>
      <w:r>
        <w:rPr>
          <w:b/>
        </w:rPr>
        <w:t>E. 2</w:t>
      </w:r>
    </w:p>
    <w:p>
      <w:r>
        <w:t>Aux termes de l' art. 48 al. 2 LHID , le contribuable qui a été taxé d'office peut déposer une réclamation contre cette taxation uniquement pour le motif qu'elle est manifestement inexacte. Il doit en ce sens exposer l'état des faits de manière suffisamment claire pour lever toute incertitude sur les bases de la taxation (arrêt 2A.39/2004 du 29 mars 2005 consid. 5.1, in Archives 75 p. 329, RF 60/2005 p. 520, RDAF 2005 II p. 564, StE B 95.1 no 9). La réclamation doit être motivée de manière substantielle et indiquer, le cas échéant, les moyens de preuve. L'art. 201 al. 2 de la loi neuchâteloise sur les contributions directes (LCDir; RS/NE 631.0) a la même teneur, de même que l'art. 132 al. 3 de la loi fédérale sur l'impôt fédéral direct du 14 décembre 1990 (LIFD; RS 642.11). D'après la jurisprudence du Tribunal fédéral relative à l'impôt fédéral direct, il s'agit d'une exigence formelle dont la violation entraîne l'irrecevabilité de la réclamation ( ATF 131 II 548 , consid. 3.3; 123 II 552 consid. 4c; arrêt 2A.39/2004 du 29 mars 2005 consid. 5.2, in Archives 75 p. 329, RF 60/2005 p. 520, RDAF 2005 II p. 564, StE B 95.1 no 9).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 in Commentaire romand, Impôt fédéral direct, 2008, no 23 ad art. 132 LIFD ; MARTIN ZWEIFEL/HUGO CASANOVA, Schweizerisches Steuerverfahrensrecht, 2008, § 20 no 20). C'est la raison pour laquelle le contribuable ne peut se limiter à une contestation globale ou à une contestation partielle de positions uniques, car cela ne permet pas d'examiner d'emblée si la taxation d'office est manifestement inexacte. Il lui appartient de prouver que la taxation d'office ne correspond pas à la situation réelle (cf. arrêt 2A.39/2004 précité consid. 5.2) et de présenter les faits de manière suffisamment détaillée et de mentionner les moyens de preuve y relatifs (cf. arrêt 2C_579/2008 du 29 avril 2009 consid. 2.1, in StE 2009 B. 95.1 no 14, RF 64/2009 p. 659).</w:t>
      </w:r>
    </w:p>
    <w:p>
      <w:r>
        <w:t>Lorsque l'autorité statuant sur réclamation n'est pas entrée en matière pour des raisons formelles - faute de motivation suffisante -, l'autorité de recours doit uniquement examiner si c'est à bon droit que celle-ci a prononcé une décision de non-entrée en matière. Si elle constate que la taxation d'office est manifestement inexacte en raison de la motivation et des moyens de preuve allégués par le contribuable dans la réclamation, elle annule la décision de réclamation attaquée et renvoie la cause à l'autorité de taxation; elle peut également statuer elle-même sur le fond lorsqu'elle y est en mesure. En revanche, lorsque la motivation de la réclamation et les moyens de preuve invoqués ne sont pas propres à prouver que la taxation d'office est manifestement inexacte, la décision de non-entrée en matière de l'autorité saisie de la réclamation doit être confirmée (arrêts 2A.39/2004 précité consid. 5.2; 2A.442/2001 du 19 juin 2002, consid. 2.2).</w:t>
      </w:r>
    </w:p>
    <w:p>
      <w:r>
        <w:rPr>
          <w:b/>
        </w:rPr>
        <w:t>E. 3</w:t>
      </w:r>
    </w:p>
    <w:p>
      <w:r>
        <w:t>Il appartenait au recourant d'établir en quoi les montants retenus comme bases imposables dans la taxation d'office, soit 11'000 fr. de revenus et 23'000 fr. de fortune, étaient manifestement inexacts. En l'espèce, la réclamation du 25 août 2008 n'est pas de nature à remettre en cause le principe de la taxation d'office pour les périodes 2005 et 2006 et ne fournit pas d'élément de fait concret propre à prouver qu'elle est manifestement inexacte. Dans ces circonstances, l'instance précédente a considéré avec raison que la motivation du recours ne suffisait pas à démontrer l'inexactitude manifeste de la taxation d'office.</w:t>
      </w:r>
    </w:p>
    <w:p>
      <w:r>
        <w:t>Le dépôt en 2010 des déclarations fiscales genevoises 2005 et 2006, même s'il avait été admis par l'instance précédente, ne pouvait constituer à lui seul un motif suffisant de réclamation ( art. 48 LHID ) et ne dispensait pas le recourant de présenter un état de fait permettant d'établir l'inexactitude manifeste de la taxation d'office dans le canton de Neuchâtel (cf. arrêt 2C_463/2009 du 21 décembre 2009 consid. 4.1).</w:t>
      </w:r>
    </w:p>
    <w:p>
      <w:r>
        <w:t>Au surplus, l'envoi des déclarations fiscales après l'entrée en vigueur d'une taxation d'office ne saurait constituer un motif de révision ( art. 51 LHID ), car le requérant pouvait faire valoir les mêmes faits au cours de la procédure ordinaire s'il avait fait preuve de toute la diligence qui pouvait raisonnablement être exigée de lui ( art. 51 al. 2 LHID ).</w:t>
      </w:r>
    </w:p>
    <w:p>
      <w:r>
        <w:t>Faute d'exposer en quoi le montant de la taxation est manifestement inexact, le recours à l'autorité précédente ne répondait pas aux exigences de motivation d'un recours contre une taxation d'office. Dès lors, l'autorité précédente pouvait confirmer l'irrecevabilité de la réclamation pour ce motif (substitué) et ainsi rejeter le recours.</w:t>
      </w:r>
    </w:p>
    <w:p>
      <w:r>
        <w:rPr>
          <w:b/>
        </w:rPr>
        <w:t>E. 4</w:t>
      </w:r>
    </w:p>
    <w:p>
      <w:r>
        <w:t>Au vu de ce qui précède, le recours en matière de droit public doit être rejeté dans la mesure où il est recevable.</w:t>
      </w:r>
    </w:p>
    <w:p>
      <w:r>
        <w:t>Succombant, le recourant doit supporter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