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2C_977/2013 vom 1. Mai 2014</w:t>
      </w:r>
    </w:p>
    <w:p>
      <w:r>
        <w:t>Bundesgericht, 2014-05-01, FR</w:t>
      </w:r>
    </w:p>
    <w:p>
      <w:r>
        <w:rPr>
          <w:b/>
        </w:rPr>
        <w:t xml:space="preserve">Quelle: </w:t>
      </w:r>
      <w:r>
        <w:t>https://mcp.opencaselaw.ch/entscheid/bger_2C_977_2013</w:t>
      </w:r>
    </w:p>
    <w:p>
      <w:r>
        <w:t>FR: TF 2C_977/2013 du 1 mai 2014</w:t>
      </w:r>
    </w:p>
    <w:p>
      <w:r>
        <w:t>IT: TF 2C_977/2013 del 1 maggio 2014</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qui concerne l'impôt fédéral direct. Déposé en temps utile par la destinataire de l'arrêt attaqué, qui a un intérêt digne de protection à l'annulation ou à la modification de celui-ci, le présent recours en matière de droit public est en principe recevable en vertu des art. 82 ss LTF et 146 de la loi fédérale du 14 décembre 1990 sur l'impôt fédéral direct (LIFD; RS 642.11).</w:t>
      </w:r>
    </w:p>
    <w:p>
      <w:r>
        <w:rPr>
          <w:b/>
        </w:rPr>
        <w:t>E. 2</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et pour autant que la correction du vice soit susceptible d'influer sur le sort de la cause (cf. art. 97 al. 1 LTF ).</w:t>
      </w:r>
    </w:p>
    <w:p>
      <w:r>
        <w:t>En l'espèce, la recourante présente un exposé des faits sans se référer à l' art. 97 al. 1 LTF ni en établir les conditions de sorte qu'il n'est pas possible de s'écarter des faits retenus dans l'arrêt attaqué.</w:t>
      </w:r>
    </w:p>
    <w:p>
      <w:r>
        <w:rPr>
          <w:b/>
        </w:rPr>
        <w:t>E. 3.1</w:t>
      </w:r>
    </w:p>
    <w:p>
      <w:r>
        <w:t>En vertu de l' art. 18 al. 1 et 2 LIFD , sont imposables tous les revenus provenant de l'exploitation d'une entreprise commerciale, industrielle, artisanale, agricole ou sylvicole, de l'exercice d'une profession libérale ou de toute autre activité lucrative indépendante.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est assimilé à une aliénation.</w:t>
      </w:r>
    </w:p>
    <w:p>
      <w:r>
        <w:t>Selon la jurisprudence, le moment déterminant pour le passage de la fortune commerciale dans la fortune privée selon l' art. 18 al. 2 LIFD est celui où le contribuable manifeste de manière claire et précise, expressément ou par actes concluants, vis-à-vis des autorités fiscales sa volonté de transférer l'élément dans sa fortune privée (cf. ATF 125 II 113 consid. 6c/aa p. 125 s.; arrêts 2C_948/2010 du 31 octobre 2011 consid. 4.1.2; 2C_276/2010 du 19 octobre 2010 consid. 3.3). Les immeubles faisant partie de la fortune commerciale d'un défunt sont transférés dans la fortune privée de ses héritiers lorsque ceux-ci expriment leur volonté en ce sens vis-à-vis des autorités fiscales. Ce n'est qu'au moment où ils décident du transfert dans la fortune privée ou de l'aliénation que le bénéfice en capital en provenant constitue un revenu imposable au sens de l' art. 18 al. 2 LIFD . Ce système d'imposition permet aux héritiers de décider du moment de l'imposition du bénéfice en capital (cf. arrêts 2C_996/2012 du 19 avril 2013 consid. 6.2; 2C_349/2009 du 16 novembre 2009 consid. 4.1.2 et les références citées; 2A.105/2007 du 3 septembre 2007 consid. 3.4).</w:t>
      </w:r>
    </w:p>
    <w:p>
      <w:r>
        <w:t>Selon la jurisprudence également (cf. ATF 126 II 473 ; 125 II 113 consid. 6c/aa p. 125-126 = RDAF 1999 2ème partie p. 385 consid. 6c/aa p. 398-399 et les arrêts cités),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w:t>
      </w:r>
    </w:p>
    <w:p>
      <w:r>
        <w:rPr>
          <w:b/>
        </w:rPr>
        <w:t>E. 3.2</w:t>
      </w:r>
    </w:p>
    <w:p>
      <w:r>
        <w:t>En l'espèce, l'instance précédente a jugé à bon droit que le passage de l'immeuble de la recourante de la fortune commerciale dans la fortune privée constituait une aliénation dont le bénéfice faisait partie du produit imposable de l'activité lucrative indépendante, ce que cette dernière ne conteste pas. Elle se plaint uniquement du moment retenu par l'instance précédente pour ce passage. De l'avis de cette dernière, la date du transfert correspond au moment du partage de la succession le 26 septembre 2001. Pour la recourante, qui considère la convention du 7 avril 1977 comme contraire au droit, le transfert a eu lieu à une date largement antérieure, ce qui empêcherait l'imposition du bénéfice en provenant, en raison de la prescription du droit de taxer de cinq ans prévue par l' art. 120 LIFD .</w:t>
      </w:r>
    </w:p>
    <w:p>
      <w:r>
        <w:rPr>
          <w:b/>
        </w:rPr>
        <w:t>E. 4</w:t>
      </w:r>
    </w:p>
    <w:p>
      <w:r>
        <w:t>La recourante se plaint de la violation des règles régissant la procédure de taxation prévues par les art. 123 ss LIFD . Elle soutient que l'instance précédente ne pouvait pas lui opposer la déclaration signée le 7 avril 1977.</w:t>
      </w:r>
    </w:p>
    <w:p>
      <w:r>
        <w:rPr>
          <w:b/>
        </w:rPr>
        <w:t>E. 4.1</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 art. 126 al. 2 LIFD ). Le contribuable porte ainsi la responsabilité de l'exactitude de sa déclaration.</w:t>
      </w:r>
    </w:p>
    <w:p>
      <w:r>
        <w:t>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 autre possibilité; il suffit qu'elle découle de l'expérience de la vie et du bon sens et qu'elle soit basée sur des motifs objectifs (arrêts 2C_4/2009 du 26 mai 2009 consid. 5; 2A.105/2007 du 3 septembre 2007 consid. 4 et les nombreuses références citées).</w:t>
      </w:r>
    </w:p>
    <w:p>
      <w:r>
        <w:t>Il peut arriver que, même après l'instruction menée par l'autorité dans le cadre de la procédure de taxation, un fait déterminant pour la taxation reste incertain parce que ni le fisc ni le contribuable n'ont une connaissance exacte des éléments de fait et que leur détermination nécessiterait des efforts considérables. En pareille hypothèse, soit ce sont les règles générales du fardeau de la preuve qui s'appliquent pour déterminer qui doit supporter les conséquences de l'échec de la preuve ou de l'absence de preuve d'un tel fait (arrêts 2C_4/2009 du 26 mai 2009 consid. 5.4; 2A.105/2007 du 3 septembre 2007 consid. 4.4 et les références citées), soit fisc et contribuable peuvent, même en l'absence de base légale, conclure un accord sur ce point, qu'il convient de bien distinguer d'un arrangement fiscal (cf. sur la distinction: arrêt 2A.227/2006 du 10 octobre 2006 consid. 3.1 in Archives 76 748 et les références citées). Un tel accord ne doit toutefois pas être contraire au droit matériel (arrêts 2A.227/2006 du 10 octobre 2006 consid. 3.1 in Archives 76 748; 2A.53/1998 du 12 novembre 1998 in RF 54/1999 p. 118, consid. 7b/aa; Archives 63 p. 661 consid. 5a p. 670; 41 p. 28 consid. 1a p. 31; 39 p. 33 consid. 3 p. 36/37; 17 p. 391 consid. 3 p. 393/394 et les références citées).</w:t>
      </w:r>
    </w:p>
    <w:p>
      <w:r>
        <w:rPr>
          <w:b/>
        </w:rPr>
        <w:t>E. 4.2</w:t>
      </w:r>
    </w:p>
    <w:p>
      <w:r>
        <w:t>Le litige porte sur le transfert de la fortune commerciale dans la fortune privée d'immeubles affectés à l'exploitation d'un hôtel. C'est à juste titre que les autorités fiscales du canton de Zurich ont considéré, au début des années 1970, que la seule dévolution successorale des immeubles ayant conduit à la formation de la communauté héréditaire composée de la recourante et de sa soeur n'a eu aucune influence sur l'appartenance des immeubles en cause à la fortune commerciale, puisque les actifs de la fortune commerciale du</w:t>
      </w:r>
    </w:p>
    <w:p>
      <w:r>
        <w:t>de cujus demeurent commerciaux auprès de ses héritiers. Selon la jurisprudence en effet, ces derniers peuvent décider de les affecter à la fortune commerciale de leur propre activité indépendante ou de les conserver en leur qualité de biens commerciaux même s'ils n'exercent pas eux-mêmes une activité indépendante; ils peuvent également décider de les transférer dans leur fortune privée par une déclaration expresse de volonté à l'adresse du fisc ou encore les aliéner. Ce n'est qu'au moment où il est décidé du transfert dans la fortune privée ou de l'aliénation que le bénéfice en capital en provenant constitue un revenu imposable au sens de l' art. 18 al. 2 LIFD . Ce système d'imposition permet aux héritiers de décider du moment de l'imposition du bénéfice en capital (arrêt 2A.105/2007 du 3 septembre 2007 consid. 3.4 in RDAF 2007 II 299 et les références citées).</w:t>
      </w:r>
    </w:p>
    <w:p>
      <w:r>
        <w:rPr>
          <w:b/>
        </w:rPr>
        <w:t>E. 4.3</w:t>
      </w:r>
    </w:p>
    <w:p>
      <w:r>
        <w:t>En l'espèce, il ressort des faits retenus par l'instance précédente que la recourante et sa soeur ont affermé, dès le 1er janvier 1974, l'exploitation de l'Hôtel à un tiers et qu'elles ont demandé à l'Administration fiscale du canton de Zurich des informations sur les conséquences fiscales qui en découlaient. Elles ont ensuite déclaré par écrit, le 7 avril 1977, qu'elles se réservaient la possibilité de reprendre ultérieurement la direction de l'exploitation de l'hôtel à leur propre compte, et que, dès lors que cet affermage n'avait qu'un caractère provisoire, les biens mobiliers et immobiliers de l'exploitation devaient être maintenus dans leur fortune commerciale tant qu'elles ne porteraient pas spontanément à la connaissance de l'autorité fiscale une intention contraire, ce qu'elles s'engageaient, cas échéant, à faire.</w:t>
      </w:r>
    </w:p>
    <w:p>
      <w:r>
        <w:t>Force est de constater qu'au moment où elle a été passée, la convention du 7 avril 1977 n'était pas contraire au droit fiscal matériel dès lors que ce n'est qu'en fonction des circonstances que l'affermage d'une exploitation commerciale peut être considéré comme un transfert dans la fortune privée, du moment qu'un tel affermage ne provoque pas le passage de l'immeuble dans la fortune privée tant qu'il n'est que provisoire (cf. consid. 3.1 ci-dessus). Il était donc loisible à la recourante ainsi qu'à sa soeur et au fisc zurichois de préciser en procédure de taxation par un accord portant sur les faits que l'affermage de l'Hôtel dès le 1er janvier 1974 à un tiers n'était que provisoire, qu'il ne constituait pas un transfert dans la fortune privée et que l'Hôtel devait être maintenu dans la fortune commerciale.</w:t>
      </w:r>
    </w:p>
    <w:p>
      <w:r>
        <w:t>Dans un contexte plus large, contrairement à ce que défend la recourante, force est aussi de constater que, dans la durée, soit jusqu'en 2001, la convention du 7 avril 1977 s'est aussi inscrite dans la ligne de la jurisprudence qui veut que les actifs de la fortune commerciale du</w:t>
      </w:r>
    </w:p>
    <w:p>
      <w:r>
        <w:t>de cujus demeurent commerciaux auprès de ses héritiers et que ces derniers peuvent décider de les conserver en leur qualité de biens commerciaux même s'ils n'exercent pas eux-mêmes une activité indépendante ou encore de les transférer dans leur fortune privée par une déclaration expresse de volonté à l'adresse du fisc, comme le prévoit dûment la convention du 7 avril 1977 (cf. arrêt 2A.105/2007 du 3 septembre 2007 consid. 3.4 et 6.2 sur la question du " revers " in RDAF 2007 II 299 et les références citées). Cette solution est du reste celle qui est nouvellement prévue par l' art. 18a al. 2 LIFD en vigueur depuis le 1er janvier 2011, selon lequel l'affermage d'une exploitation commerciale n'est considéré comme un transfert dans la fortune privée qu'à la demande du contribuable. Elle revêt le double avantage, pour les héritiers, de pouvoir décider du moment le plus opportun du transfert notamment sous l'angle financier, et pour le fisc, eu égard aux avantages que le droit fiscal confère aux biens de la fortune commerciale (pour une liste de ces avantages: cf. MARTIN ARNOLD, Geschäfts- und Privatvermögen im schweizerischen Einkommensteuerrecht, in: Archives 75, p. 265 ss, en particulier p. 266 ss), d'être néanmoins en mesure de percevoir l'impôt sur la plus-value réalisée par le transfert dans la fortune privée conformément à l' art. 18 al. 2 LIFD .</w:t>
      </w:r>
    </w:p>
    <w:p>
      <w:r>
        <w:t>Dans ces conditions, la convention du 7 avril 1977 ne viole pas le droit fédéral. Elle liait la recourante, qui ne pouvait s'affranchir de son engagement écrit auprès du fisc de déclarer expressément le moment venu sa volonté de transférer les immeubles en cause dans sa fortune privée sans violer le principe de la bonne foi. En l'espèce, il est établi que la recourante n'a manifesté cette volonté de transfert que lorsqu'il a été procédé au partage de la masse successorale par transaction judiciaire du 26 septembre 2001. La taxation litigieuse ayant eu lieu le 15 décembre 2006, elle n'était pas prescrite. Partant, l'instance précédente n'a pas violé le droit fédéral en confirmant l'imposition comme revenu auprès de la recourante du gain provenant du transfert dans la fortune privée.</w:t>
      </w:r>
    </w:p>
    <w:p>
      <w:r>
        <w:rPr>
          <w:b/>
        </w:rPr>
        <w:t>E. 5</w:t>
      </w:r>
    </w:p>
    <w:p>
      <w:r>
        <w:t>Les considérants qui précédent conduisent au rejet du recours. Succombant, la recourante doit supporter les frais judiciaires ( art. 66 al. 1 LTF ). Il n'est pas alloué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