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2C_975/2012 vom 20. Februar 2013</w:t>
      </w:r>
    </w:p>
    <w:p>
      <w:r>
        <w:t>Bundesgericht, 2013-02-20, FR</w:t>
      </w:r>
    </w:p>
    <w:p>
      <w:r>
        <w:rPr>
          <w:b/>
        </w:rPr>
        <w:t xml:space="preserve">Quelle: </w:t>
      </w:r>
      <w:r>
        <w:t>https://mcp.opencaselaw.ch/entscheid/bger_2C_975_2012</w:t>
      </w:r>
    </w:p>
    <w:p>
      <w:r>
        <w:t>FR: TF 2C_975/2012 du 20 février 2013</w:t>
      </w:r>
    </w:p>
    <w:p>
      <w:r>
        <w:t>IT: TF 2C_975/2012 del 20 febbraio 2013</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serbe titulaire d'une autorisation d'établissement ayant cessé d'exister, celle-ci ne peut pas déduire un droit à une autorisation de séjour de l'art. 43 al. 1 LEtr ni de l'art. 49 LEtr. Reste l'art. 50 al. 1 LEtr qui subordonne la prolongation de son autorisation de séjour à certaines conditions dont se prévaut la recourante. En pareilles circonstances, il convient d'admettre un droit de recourir sous l'angle de l' art. 83 let . c ch. 2 LTF, le point de savoir si c'est à juste titre que les autorités cantonales ont nié la réalisation des conditions de l'art. 50 LEtr ressortissant au fond et non à la recevabilité (arrêts 2C_997/2011 du 3 avril 2012 consid. 1.1; 2C_427/2011 du 26 octobre 2011 consid. 1.1; 2C_839/2010 du 25 février 2011 consid. 2.1).</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la destinataire de l'arrêt attaqué qui a un intérêt digne de protection à son annulation ou à sa modification ( art. 89 al. 1 LTF ). Par conséquent, il est en principe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137 II 222 consid. 7.4 p. 230;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135 II 313 consid. 5.2.2 p. 322). Enfin, sous réserve d'exceptions non réalisées en l'espèce, aucun fait nouveau ni preuve nouvelle ne peut être présenté devant le Tribunal de céans à moins de résulter de la décision de l'autorité précédente ( art. 99 LTF ), de sorte qu'il ne sera pas tenu compte des pièces nouvelles produites par la recourante.</w:t>
      </w:r>
    </w:p>
    <w:p>
      <w:r>
        <w:rPr>
          <w:b/>
        </w:rPr>
        <w:t>E. 3</w:t>
      </w:r>
    </w:p>
    <w:p>
      <w:r>
        <w:t>La recourante reproche au TAF d'avoir violé les art. 50 al. 1 LEtr et 77 OASA, abusant de son pouvoir d'appréciation, notamment dans la mesure où l'instance précédente a considéré que la recourante n'avait pas "révélé un souci constant de s'assumer financièrement, et donc de s'intégrer en Suisse".</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t>Le principe de l'intégration doit permettre aux étrangers dont le séjour est légal et durable de participer à la vie économique, sociale et culturelle de la Suisse (art. 4 al. 2 LEtr; cf. ATF 134 II 1 consid. 4.1 p. 4 s.). D'après l' art. 77 al. 4 OASA ,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 art. 4 OIE ,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ainsi qu' art. 3 OIE ; arrêts 2C_749/2011 du 20 janvier 2012 consid. 3.2; 2C_426/2011 du 30 novembre 2011 consid. 3.2; 2C_427/2011 du 26 octobre 2011 consid. 5.2; 2C_546/2010 du 30 novembre 2010 consid. 5.2.1).</w:t>
      </w:r>
    </w:p>
    <w:p>
      <w:r>
        <w:t>En l'espèce, le TAF a admis que la recourante n'avait fait l'objet d'aucune procédure pénale et qu'elle parle bien français. Il a cependant retenu au détriment de la recourante que le parcours professionnel de cette dernière ne révélait pas "un soucis constant de s'assumer financièrement", dans la mesure où elle n'a travaillé que 18 mois entre son divorce prononcé le 2 juin 2005 et la décision du 16 août 2012 qui fait l'objet du présent recours. Elle a bénéficié de prestations de l'assurance chômage et de l'aide sociale le reste du temps. La recourante fait également l'objet d'une trentaine d'actes de défaut de biens pour un montant excédant 20'000 fr. et de poursuites pour 637.70 fr. L'instance précédente a également considéré que les problèmes médicaux ou psychiques invoqués par la recourante comme étant la cause de ses difficultés professionnelles ne l'avaient pas empêchée de travailler sporadiquement et qu'en tout état de cause, ils ne présentaient pas une gravité s'opposant à l'exercice d'une activité lucrative. Ces faits ont conduit le TAF à conclure valablement, au vu de l'absence d'autonomie financière et de sa situation obérée, au défaut d'intégration économique de la recourante.</w:t>
      </w:r>
    </w:p>
    <w:p>
      <w:r>
        <w:t>Le TAF a également relevé que la recourante avait volontairement donné des informations incorrectes concernant son état civil, induisant les autorités en erreur et lui permettant d'obtenir la prolongation de son séjour en Suisse avant que son statut ne soit réexaminé. Cette attitude ne permet pas non plus de conclure à une bonne intégration sociale en Suisse.</w:t>
      </w:r>
    </w:p>
    <w:p>
      <w:r>
        <w:t>En conséquence, le TAF n'a pas abusé de son pouvoir d'appréciation en considérant que, faute d'intégration réussie, l'une des conditions de l'art. 50 al. 1 let. a LEtr faisait défaut.</w:t>
      </w:r>
    </w:p>
    <w:p>
      <w:r>
        <w:rPr>
          <w:b/>
        </w:rPr>
        <w:t>E. 3.2</w:t>
      </w:r>
    </w:p>
    <w:p>
      <w:r>
        <w:t>La recourante fait grief à l'instance précédente d'avoir violé l'art. 50 al. 1 let. b LEtr en niant l'existence de raisons personnelles majeures justifiant la prolongation de son autorisation de séjour. Elle invoque des violences conjugales et considère que l'instance précédente s'est montrée trop exigeante quant à l'apport de la preuve sur ce point.</w:t>
      </w:r>
    </w:p>
    <w:p>
      <w:r>
        <w:rPr>
          <w:b/>
        </w:rPr>
        <w:t>E. 3.2.1</w:t>
      </w:r>
    </w:p>
    <w:p>
      <w:r>
        <w:t>L'art. 50 al. 1 let. b LEtr prévoit qu'après la dissolution de la famille, le droit du conjoint à l'octroi d'une autorisation de séjour et à la prolongation de sa durée de validité en vertu de l'art. 42 LEtr subsiste lorsque la poursuite du séjour en Suisse s'impose pour des raisons personnelles majeures (let. b). Selon l'art. 50 al. 2 LEtr, les raisons personnelles majeures visées à l'al. 1 let. b sont notamment données lorsque le conjoint est victime de violence conjugale et que la réintégration sociale dans le pays de provenance semble fortement compromise. La jurisprudence a précisé que la violence conjugale et la réintégration sociale fortement compromise dans le pays de provenance ne devaient pas forcément être réalisées cumulativement pour justifier l'application de l'art. 50 al. 1 let. b et al. 2 LEtr (cf. ATF 136 II 1 consid. 5.3 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w:t>
      </w:r>
    </w:p>
    <w:p>
      <w:r>
        <w:t>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136 II 1 consid. 5.3 p. 4); elle peut être de nature tant physique que psychique (arrêts 2C_748/2011 du 11 juin 2012 consid. 2.2.1; 2C_155/2011 du 7 juillet 2011 consid. 4.).</w:t>
      </w:r>
    </w:p>
    <w:p>
      <w:r>
        <w:t>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2C_748/2011 du 11 juin 2012 consid. 2.2.2; 2C_544/2009 du 25 mars 2010 consid. 4.1).</w:t>
      </w:r>
    </w:p>
    <w:p>
      <w:r>
        <w:rPr>
          <w:b/>
        </w:rPr>
        <w:t>E. 3.2.2</w:t>
      </w:r>
    </w:p>
    <w:p>
      <w:r>
        <w:t>En l'espèce, il sied de rappeler qu'après son divorce prononcé le 2 juin 2005, la recourante est restée en Serbie un mois et demi avant de rejoindre de son plein gré son ex-conjoint en Suisse et reprendre la vie commune avec lui. Les auditions des conjoints du 2 novembre 2006 ne font pas ressortir que les violences conjugales aient caractérisé la vie du couple. La recourante allègue uniquement être victime de troubles psychiques à tendance dépressive consécutifs à ses difficultés conjugales, ce que confirment les attestations médicales produites au cours de la procédure. L'instance précédente a conclu avec raison qu'un état dépressif léger consécutif à une séparation n'est pas assimilable à des violences conjugales. L'écriture de recours auprès du Tribunal de céans souligne "l'exacerbation de la symptomatologie par l'incertitude de la prolongation du permis de séjour", confirmant le constat du TAF selon lequel le trouble dépressif récurrent de la recourante est lié à l'incertitude de son statut en Suisse.</w:t>
      </w:r>
    </w:p>
    <w:p>
      <w:r>
        <w:t>La recourante a vécu en Serbie jusqu'à l'âge de dix-huit ans, où ses parents vivent. Encore jeune, célibataire et sans enfant, il lui est possible de refaire sa vie dans son pays d'origine, où elle pourra bénéficier d'une prise en charge thérapeutique de son état dépressif.</w:t>
      </w:r>
    </w:p>
    <w:p>
      <w:r>
        <w:t>Les conditions justifiant la prolongation du séjour au sens de l'art. 50 al. 1 let. b LEtr ne sont pas remplies et le grief tiré de ce chef doit être rejeté.</w:t>
      </w:r>
    </w:p>
    <w:p>
      <w:r>
        <w:rPr>
          <w:b/>
        </w:rPr>
        <w:t>E. 4</w:t>
      </w:r>
    </w:p>
    <w:p>
      <w:r>
        <w:t>Au vu de ce qui précède, le recours doit être rejeté.</w:t>
      </w:r>
    </w:p>
    <w:p>
      <w:r>
        <w:t>Succombant, la recourante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