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2C_972/2010 vom 24. Mai 2011</w:t>
      </w:r>
    </w:p>
    <w:p>
      <w:r>
        <w:t>Bundesgericht, 2011-05-24, FR</w:t>
      </w:r>
    </w:p>
    <w:p>
      <w:r>
        <w:rPr>
          <w:b/>
        </w:rPr>
        <w:t xml:space="preserve">Quelle: </w:t>
      </w:r>
      <w:r>
        <w:t>https://mcp.opencaselaw.ch/entscheid/bger_2C_972_2010</w:t>
      </w:r>
    </w:p>
    <w:p>
      <w:r>
        <w:t>FR: TF 2C_972/2010 du 24 mai 2011</w:t>
      </w:r>
    </w:p>
    <w:p>
      <w:r>
        <w:t>IT: TF 2C_972/2010 del 24 maggio 2011</w:t>
      </w:r>
    </w:p>
    <w:p>
      <w:pPr>
        <w:pStyle w:val="Heading2"/>
      </w:pPr>
      <w:r>
        <w:t>Erwägungen</w:t>
      </w:r>
    </w:p>
    <w:p>
      <w:r>
        <w:rPr>
          <w:b/>
        </w:rPr>
        <w:t>E. 1.1</w:t>
      </w:r>
    </w:p>
    <w:p>
      <w:r>
        <w:t>Selon l' art. 83 let . c ch. 2 LTF, le recours en matière de droit public est irrecevable contre les décisions relatives à une autorisation de droit des étrangers à laquelle ni le droit fédéral, ni le droit international ne donnent droit. D'après la jurisprudence, il suffit qu'il existe un droit potentiel à l'autorisation, étayé par une motivation soutenable, pour que cette clause d'exclusion ne s'applique pas et que, partant, la voie du recours en matière de droit public soit ouverte ( ATF 136 II 177 consid. 1.1 p. 179).</w:t>
      </w:r>
    </w:p>
    <w:p>
      <w:r>
        <w:t>En l'espèce, la recourante se prévaut de l'art. 43 al. 1 et 2 LEtr et de l' art. 8 CEDH . Lorsque les conditions en sont réunies, ces dispositions confèrent un droit à la délivrance (respectivement au renouvellement) d'une autorisation de séjour respectivement établissement. Il s'ensuit que le recours échappe à l'exception prévue à l' art. 83 let . c ch. 2 LTF.</w:t>
      </w:r>
    </w:p>
    <w:p>
      <w:r>
        <w:rPr>
          <w:b/>
        </w:rPr>
        <w:t>E. 1.2</w:t>
      </w:r>
    </w:p>
    <w:p>
      <w:r>
        <w:t>Les autres conditions de recevabilité étant réunies, il y a lieu d'entrer en matière.</w:t>
      </w:r>
    </w:p>
    <w:p>
      <w:r>
        <w:rPr>
          <w:b/>
        </w:rPr>
        <w:t>E. 2</w:t>
      </w:r>
    </w:p>
    <w:p>
      <w:r>
        <w:t>En vertu de l' art. 99 LTF , aucun fait nouveau ni preuve nouvelle ne peut être présenté à moins de résulter de la décision de l'autorité précédente.</w:t>
      </w:r>
    </w:p>
    <w:p>
      <w:r>
        <w:t>La pièce datée du 13 décembre 2010 produite par la recourante à l'appui de son recours est par conséquent irrecevable. La conclusion tendant à ce que soit ordonnée par le Tribunal fédéral la production d'un rapport complémentaire qui devrait encore être établi par le Service de la protection de la jeunesse est également irrecevable. Elle aurait pour effet la production d'une preuve nouvelle prohibée par l' art. 99 LTF .</w:t>
      </w:r>
    </w:p>
    <w:p>
      <w:r>
        <w:rPr>
          <w:b/>
        </w:rPr>
        <w:t>E. 3</w:t>
      </w:r>
    </w:p>
    <w:p>
      <w:r>
        <w:t>En vertu de l' art. 97 LTF , le recours ne peut critiquer les constatations de fait que si les faits ont été établis de façon manifestement inexacte ou en violation du droit au sens de l'art. 95, et si la correction du vice est susceptible d'influer sur le sort de la cause.</w:t>
      </w:r>
    </w:p>
    <w:p>
      <w:r>
        <w:t>En l'espèce, la recourante fait valoir qu'elle a obtenu la garde de ses enfants "après son divorce". En l'absence de pièce produite par la recourante, il convient de s'en tenir à la constatation - d'ailleurs conforme aux documents figurant dans le dossier judiciaire - que la recourante a obtenu la garde de ses enfants par voie de mesures protectrices de l'union conjugale et non pas par voie de jugement de divorce, ce qui implique également que le père des enfants et époux de la recourante exerce encore l'autorité parentale.</w:t>
      </w:r>
    </w:p>
    <w:p>
      <w:r>
        <w:rPr>
          <w:b/>
        </w:rPr>
        <w:t>E. 4.1</w:t>
      </w:r>
    </w:p>
    <w:p>
      <w:r>
        <w:t>Aux termes de l'art. 43 al. 1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Après un séjour légal ininterrompu de cinq ans, le conjoint a droit à l'octroi d'une autorisation d'établissement (art. 43 al. 2 LEtr).</w:t>
      </w:r>
    </w:p>
    <w:p>
      <w:r>
        <w:t>D'après l'art. 51 al. 2 let. b LEtr, les droits prévus à l'art. 43 LEtr s'éteignent s'il existe des motifs de révocation au sens de l'art. 62 LEtr. Selon l'art. 62 let. b et c LEtr, l'autorité compétente peut révoquer une autorisation, à l'exception de l'autorisation d'établissement, ou une autre décision fondée sur la présente loi, lorsque l'étranger a été condamné à une peine privative de liberté de longue durée ou a fait l'objet d'une mesure pénale prévue aux art. 64 ou 61 du code pénal, ou lorsqu'il attente de manière grave ou répétée à la sécurité et l'ordre publics en Suisse ou à l'étranger, les met en danger ou représente une menace pour la sécurité intérieure ou extérieure de la Suisse. Selon la jurisprudence, une peine privative de liberté est considérée comme de longue durée lorsqu'elle dépasse un an d'emprisonnement ( ATF 135 II 377 consid. 4.2 p. 379 ss), indépendamment du fait qu'elle ait été prononcée avec un sursis complet ou partiel, respectivement sans sursis (arrêts 2C_651/2009 du 01.03.2010, consid. 4.1.2; 2C_515/2009 du 27 janvier 2010, consid. 2.1).</w:t>
      </w:r>
    </w:p>
    <w:p>
      <w:r>
        <w:t>Ces conditions sont manifestement remplies en l'espèce au regard des condamnations à 300 fr. d'amende et à 30 mois d'emprisonnement prononcées contre la recourante, qui ne le conteste du reste pas.</w:t>
      </w:r>
    </w:p>
    <w:p>
      <w:r>
        <w:rPr>
          <w:b/>
        </w:rPr>
        <w:t>E. 4.2</w:t>
      </w:r>
    </w:p>
    <w:p>
      <w:r>
        <w:t>Selon la jurisprudence, le refus de l'autorisation, respectivement sa révocation, ne se justifie que si la pesée des intérêts à effectuer dans le cas d'espèce fait apparaître la mesure comme proportionnée aux circonstances ( ATF 135 II 377 consid. 4.3 p. 381). Il convient donc de prendre en considération, dans la pesée des intérêts publics et privés en présence, la gravité de la faute commise par l'étranger, son degré d'intégration respectivement la durée de son séjour en Suisse et le préjudice que l'intéressé et sa famille auraient à subir en raison de la mesure (cf. art. 96 al. 1 LEtr; ATF 135 II 377 consid. 4.3 p. 381; arrêts 2C_651/2009 du 01.03.2010, consid. 4.2; 2C_418/2009 du 30 novembre 2009, consid. 4.1). Quand le refus d'octroyer une autorisation de séjour se fonde sur la commission d'une infraction, la peine infligée par le juge pénal est le premier critère servant à évaluer la gravité de la faute et à procéder à la pesée des intérêts en présence (arrêts 2C_418/2009 du 30 novembre 2009, consid. 4.1; 2C_464/2009 du 21 octobre 2009, consid. 5). Cette pesée des intérêts se confond largement avec celle que le juge doit effectuer lors de la mise en oeuvre de l'art. 8 § 2 CEDH , de sorte qu'il y sera procédé à cette occasion (cf. consid. 6 ci-dessous), la recourante se plaignant également de la violation de cette disposition.</w:t>
      </w:r>
    </w:p>
    <w:p>
      <w:r>
        <w:rPr>
          <w:b/>
        </w:rPr>
        <w:t>E. 5.1</w:t>
      </w:r>
    </w:p>
    <w:p>
      <w:r>
        <w:t>Un étranger peut, selon les circonstances, se prévaloir de l'art. 8 §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 ATF 130 II 281 consid. 3.1 p. 286). Tel est le cas en l'espèce au regard des relations qu'elle entretient avec deux de ses enfants, dont elle a la garde et qui sont titulaires du permis d'établissement; en outre, il n'est pas contesté que le lien conjugal entre les époux soit réel.</w:t>
      </w:r>
    </w:p>
    <w:p>
      <w:r>
        <w:rPr>
          <w:b/>
        </w:rPr>
        <w:t>E. 5.2</w:t>
      </w:r>
    </w:p>
    <w:p>
      <w:r>
        <w:t>Le droit au respect de la vie privée et familiale garanti par l'art. 8 § 1 CEDH n'est toutefois pas absolu. Une ingérence dans l'exercice de ce droit est possible selon l'art. 8 §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fondé sur l'art. 8 § 2 CEDH suppose une pesée des intérêts en présence et l'examen de la proportionnalité de la mesure (cf. ATF 135 II 377 consid. 4.3 p. 381). Pour apprécier ce qui est équitable, l'autorité doit notamment tenir compte de la gravité de la faute commise par l'étranger, de la durée de son séjour en Suisse et du préjudice qu'il aurait à subir avec sa famille du fait de l'expulsion, respectivement du refus d'accorder ou de prolonger une autorisation de séjour. Normalement, en cas de peine d'au moins deux ans de détention, l'intérêt public à l'éloignement l'emporte sur l'intérêt privé - et celui de sa famille - à pouvoir rester en Suisse (cf. ATF 135 II 377 consid. 4.3 et 4.4 p. 381 s.; 130 II 176 consid. 4.1 p. 185).</w:t>
      </w:r>
    </w:p>
    <w:p>
      <w:r>
        <w:rPr>
          <w:b/>
        </w:rPr>
        <w:t>E. 6.1</w:t>
      </w:r>
    </w:p>
    <w:p>
      <w:r>
        <w:t>La recourante se plaint uniquement du résultat de la pesée des intérêts publics et privés en présence. Elle réitère les arguments qu'elle a déjà exposés en instance précédente: le risque de récidive est très faible, du moment qu'elle n'a commis aucun délit depuis sa mise en liberté et que les circonstances de l'époque, liées aux infidélités de son époux ne peuvent plus être réunies. Elle n'a en outre plus eu de contact avec son pays depuis son arrivée en Suisse. Un retour au pays la contraindrait à abandonner ses enfants, qui ne pourraient être tenus de quitter la Suisse.</w:t>
      </w:r>
    </w:p>
    <w:p>
      <w:r>
        <w:rPr>
          <w:b/>
        </w:rPr>
        <w:t>E. 6.2</w:t>
      </w:r>
    </w:p>
    <w:p>
      <w:r>
        <w:t>C'est à juste titre que l'instance précédente a relevé que la tentative de meurtre présentait un caractère de gravité certaine, que la peine privative de liberté de 30 mois excédait à la fois la limite d'une année sous l'angle de l'art. 62 let. b LEtr et celle de deux ans sous l'angle de l'art. 8 § 2 CEDH . En revanche, le risque de récidive ne saurait être qualifié d'important, du moins s'il se fonde uniquement sur le rapport psychiatrique effectué en vue de la procédure pénale. En effet, le Tribunal cantonal a fondé sa constatation sur le rapport psychiatrique établi durant la procédure pénale, c'est-à-dire avant que la recourante ne bénéficie d'une thérapie et d'un suivi psychiatrique, dont les premiers effets positifs ressortent du rapport établi par le Service pénitentiaire du 19 juin 2009 (cf. arrêt attaqué, p. 4 et 5). S'il semble établi que le risque de récidive peut être qualifié de faible, il n'est pas inexistant et permet à tout le moins de mettre en doute la possibilité pour les époux de vivre ensemble dans l'avenir, car cela conduirait à reconstituer les circonstances qui ont amené la recourante à commettre les infractions pour lesquelles elle a été condamnée. A cela s'ajoute qu'un comportement qui échappe à la critique en détention n'est pas un élément qui efface la gravité des actes commis ni le risque de récidive.</w:t>
      </w:r>
    </w:p>
    <w:p>
      <w:r>
        <w:t>Par conséquent, seules des circonstances exceptionnelles permettraient de faire pencher la balance des intérêts en faveur de la recourante.</w:t>
      </w:r>
    </w:p>
    <w:p>
      <w:r>
        <w:rPr>
          <w:b/>
        </w:rPr>
        <w:t>E. 6.3</w:t>
      </w:r>
    </w:p>
    <w:p>
      <w:r>
        <w:t>Sous cet angle, l'instance précédente a dûment pris en considération le fait que la recourante, née en 1968, était en Suisse depuis plus de dix ans, mais qu'elle y était entrée en 1999 à l'âge de 30 ans et qu'elle avait passé toute son enfance, son adolescence et une grande partie de sa vie d'adulte dans son pays d'origine, de sorte qu'un retour dans son pays n'apparaissait pas insurmontable, même s'il ne serait inévitablement pas dénué de difficultés. A cela s'ajoutait que l'intégration socio-professionnelle de la recourante en Suisse ne semblait pas particulièrement poussée de sorte qu'en cas de renvoi dans son pays d'origine, elle ne perdrait aucun acquis professionnel particulier, ni aucun statut social qu'elle aurait réussi à construire depuis son arrivée en Suisse. L'expertise psychiatrique effectuée dans le cadre de son procès pénal avait du reste révélé que le déracinement, l'éloignement d'avec sa famille, son mariage avec un homme infidèle et violent et un isolement social marqué avaient concouru à faire apparaître chez elle une symptomatologie délirante, circonscrite autour des infidélités de son mari et des femmes qu'il fréquentait. Ces éléments permettent de retenir que la recourante a pour le moins de la peine à s'intégrer dans la société suisse et y trouver ses repères, ce qui plaide en défaveur d'une autorisation de séjour en Suisse.</w:t>
      </w:r>
    </w:p>
    <w:p>
      <w:r>
        <w:t>Comme le fait aussi remarquer à juste titre l'instance précédente, les enfants de la recourante ont la nationalité congolaise et, hormis l'aînée, âgée de 11 ans, sont encore en bas âge (5 et 4 ans), de sorte que leur intégration dans leur pays d'origine ne poserait pas de problèmes, encore qu'ils perdraient le bénéfice d'une relation étroite, effective, harmonieuse et avérée en l'espèce avec leur père. On ne saurait en revanche être aussi affirmatif que le Tribunal cantonal s'agissant de l'aînée, dont l'intégration en Suisse ne serait, à son avis, pas poussée au point d'empêcher un changement de régime scolaire et son adaptation au pays d'origine. En réalité, le sort de cette enfant qui n'a connu que les conditions de vie suisses et pas uniquement extra-scolaires, comme celui de ses frère et soeur en bas âge, dépend en premier lieu de leurs parents qui ont conservé tous deux l'exercice de l'autorité parentale et à qui il appartient de décider, avec les aménagements de droit civil que cela implique, s'ils souhaitent que la fratrie demeure en Suisse avec leur père ou rentre au Congo avec leur mère. Dans l'une et l'autre hypothèse, les enfants devront s'accommoder d'une séparation. Il n'en demeure pas moins que, dans l'appréciation globale des circonstances du cas, l'intérêt public à l'éloignement de la recourante l'emporte sur son intérêt privé à rester en Suisse. L'instance précédente a par conséquent effectué une pesée correcte des intérêts en présence.</w:t>
      </w:r>
    </w:p>
    <w:p>
      <w:r>
        <w:rPr>
          <w:b/>
        </w:rPr>
        <w:t>E. 6.4</w:t>
      </w:r>
    </w:p>
    <w:p>
      <w:r>
        <w:t>En confirmant le refus de renouveler le permis de séjour de la recourante ainsi que celui de délivrer un permis d'établissement, l'instance précédente a correctement appliqué le droit fédéral.</w:t>
      </w:r>
    </w:p>
    <w:p>
      <w:r>
        <w:rPr>
          <w:b/>
        </w:rPr>
        <w:t>E. 7</w:t>
      </w:r>
    </w:p>
    <w:p>
      <w:r>
        <w:t>Les considérants qui précèdent conduisent au rejet du recours. Comme le recours n'était pas d'emblée dénué de chance de succès et que la recourante a prouvé son indigence, l'assistance judiciaire lui est accordée et un avocat d'office lui est désigné en la personne de Me Jean-Pierre Bloch, avocat à Lausanne. Dans ces conditions, il n'est pas perçu de frais de justice et une indemnité de défenseur d'office sera versée à Me Jean-Pierre Bloch à charge du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