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2C_970/2018 vom 30. Oktober 2018</w:t>
      </w:r>
    </w:p>
    <w:p>
      <w:r>
        <w:t>Bundesgericht, 2018-10-30, FR</w:t>
      </w:r>
    </w:p>
    <w:p>
      <w:r>
        <w:rPr>
          <w:b/>
        </w:rPr>
        <w:t xml:space="preserve">Quelle: </w:t>
      </w:r>
      <w:r>
        <w:t>https://mcp.opencaselaw.ch/entscheid/bger_2C_970_2018</w:t>
      </w:r>
    </w:p>
    <w:p>
      <w:r>
        <w:t>FR: TF 2C_970/2018 du 30 octobre 2018</w:t>
      </w:r>
    </w:p>
    <w:p>
      <w:r>
        <w:t>IT: TF 2C_970/2018 del 30 ottobre 2018</w:t>
      </w:r>
    </w:p>
    <w:p>
      <w:pPr>
        <w:pStyle w:val="Heading2"/>
      </w:pPr>
      <w:r>
        <w:t>Erwägungen</w:t>
      </w:r>
    </w:p>
    <w:p>
      <w:r>
        <w:rPr>
          <w:b/>
        </w:rPr>
        <w:t>E. 1</w:t>
      </w:r>
    </w:p>
    <w:p>
      <w:r>
        <w:t>Par arrêt du 28 septembre 2018, le Tribunal cantonal du canton de Vaud a confirmé la décision du 20 avril 2018 du Service des automobiles et la navigation du canton de Vaud facturant à X.________ un montant de 102 fr. 55 comprenant un émolument administratif de 30 fr., les frais de rappel et les frais de poursuite.</w:t>
      </w:r>
    </w:p>
    <w:p>
      <w:r>
        <w:rPr>
          <w:b/>
        </w:rPr>
        <w:t>E. 2</w:t>
      </w:r>
    </w:p>
    <w:p>
      <w:r>
        <w:t>Par courrier du 27 octobre 2018, l'intéressé déclare au Tribunal fédéral déposer un recours contre l'arrêt rendu le 28 septembre 2018 par le Tribunal cantonal du canton de Vaud.</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le recourant ne formule aucun grief ni ne motive de violation de l'interdiction de l'arbitraire, qu'il ne mentionne du reste nullement dans l'application par l'instance précédente du droit cantonal en matière d'émolument administratif, ce qui ne respecte par les exigences accrues de motivation de l' art. 106 al. 2 LTF .</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