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96/2020 vom 11. November 2020</w:t>
      </w:r>
    </w:p>
    <w:p>
      <w:r>
        <w:t>Bundesgericht, 2020-11-11, DE</w:t>
      </w:r>
    </w:p>
    <w:p>
      <w:r>
        <w:rPr>
          <w:b/>
        </w:rPr>
        <w:t xml:space="preserve">Quelle: </w:t>
      </w:r>
      <w:r>
        <w:t>https://mcp.opencaselaw.ch/entscheid/bger_2C_96_2020</w:t>
      </w:r>
    </w:p>
    <w:p>
      <w:r>
        <w:t>FR: TF 2C 96/2020 du 11 novembre 2020</w:t>
      </w:r>
    </w:p>
    <w:p>
      <w:r>
        <w:t>IT: TF 2C 96/2020 del 11 novembre 2020</w:t>
      </w:r>
    </w:p>
    <w:p>
      <w:pPr>
        <w:pStyle w:val="Heading2"/>
      </w:pPr>
      <w:r>
        <w:t>Regeste</w:t>
      </w:r>
    </w:p>
    <w:p>
      <w:r>
        <w:t>Staats- und Gemeindesteuern des Kantons Luzern und direkte Bundessteuer, Steuerperioden 2009 - 2015 | Öffentliche Finanzen &amp; Abgaberecht</w:t>
      </w:r>
    </w:p>
    <w:p>
      <w:pPr>
        <w:pStyle w:val="Heading2"/>
      </w:pPr>
      <w:r>
        <w:t>Erwägungen</w:t>
      </w:r>
    </w:p>
    <w:p>
      <w:r>
        <w:rPr>
          <w:b/>
        </w:rPr>
        <w:t>E. 1.1</w:t>
      </w:r>
    </w:p>
    <w:p>
      <w:r>
        <w:t>Das Kantonsgericht des Kantons Luzern entscheidet auch in Sicherstellungsfällen als einzige und obere kantonale Gerichtsbehörde ( Art. 169 Abs. 3 DBG in Verbindung mit § 128 Abs. 1 des Steuergesetzes (des Kantons Luzern) vom 22. November 1999 [StG/LU; SRL 620]). Der angefochtene Entscheid stellt einen Endentscheid dar ( BGE 134 II 349 E. 1.3 und 1.4 S. 351), zugleich aber auch einen Entscheid über eine vorsorgliche Massnahme gemäss Art. 98 BGG ( BGE 134 II 349 E. 3 S. 351 [StHG]; Urteil 2C_523/2020 vom 4. November 2020 E. 1.1).</w:t>
      </w:r>
    </w:p>
    <w:p>
      <w:r>
        <w:rPr>
          <w:b/>
        </w:rPr>
        <w:t>E. 1.2.1</w:t>
      </w:r>
    </w:p>
    <w:p>
      <w:r>
        <w:t>Die Voraussetzungen der Beschwerde in öffentlich-rechtlichen Angelegenheiten liegen unter Vorbehalt des Nachfolgenden vor (Art. 82 lit. a, Art. 83 e contrario, Art. 86 Abs. 1 lit. d und Abs. 2, Art. 90 und Art. 100 Abs. 1 BGG in Verbindung mit Art. 146 DBG [SR 642.11] und Art. 73 StHG [SR 642.14]).</w:t>
      </w:r>
    </w:p>
    <w:p>
      <w:r>
        <w:rPr>
          <w:b/>
        </w:rPr>
        <w:t>E. 1.2.2</w:t>
      </w:r>
    </w:p>
    <w:p>
      <w:r>
        <w:t>Die Steuerpflichtige hat an sich kein schutzwürdiges Interesse an der Anfechtung der Abschreibung des kantonalen Beschwerdeverfahrens. In diesem Umfang fehlt die Legitimation ( Art. 89 Abs. 1 lit. c BGG ). Soweit sie beantragt, die Veranlagungsbehörde sei anzuweisen, die geleisteten Sicherheiten freizugeben und diese auszuhändigen (Antrag 6; Sachverhalt, lit. E), ist dies gegenstandslos. Insoweit ist auf die Beschwerde nicht einzutreten. Ein praktisches Rechtsschutzinteresse besteht bezüglich der mit der Abschreibung verbundenen Kostenauflage. In Wirklichkeit richtet sich die Beschwerde denn auch hauptsächlich gegen die Kostenauflage (Antrag 7; auch dazu Sachverhalt, lit. E). Die Steuerpflichtige erachtet die Kostenauflage als willkürlich, da die Sicherstellung nie hätte verfügt werden dürfen. Diesbezüglich ist auf die Beschwerde einzutreten.</w:t>
      </w:r>
    </w:p>
    <w:p>
      <w:r>
        <w:rPr>
          <w:b/>
        </w:rPr>
        <w:t>E. 1.3</w:t>
      </w:r>
    </w:p>
    <w:p>
      <w:r>
        <w:t>Die Qualifikation des angefochtenen Entscheids als vorsorgliche Massnahme im Sinne von Art. 98 BGG hat Auswirkungen auf die Kognition: Das Bundesgericht wendet das Bundesrecht, wozu das Recht der direkten Bundessteuer zählt ( Art. 128 BV ), grundsätzlich von Amtes wegen an ( Art. 106 Abs. 1 BGG ; BGE 146 IV 88 E. 1.3.2 S. 92) und prüft es mit uneingeschränkter (voller) Kognition ( Art. 95 lit. a BGG ; BGE 145 I 239 E. 2 S. 241). Im Anwendungsbereich von Art. 98 BGG ist die Prüfungsbefugnis indes auf die Frage beschränkt, ob der angefochtene Entscheid in verfassungsmässige Individualrechte der beschwerdeführenden Person eingreife ( BGE 138 III 728 E. 2.3 S. 729 f.). Im Unterschied zu Art. 95 lit. a BGG kann folglich nicht jeder Verstoss gegen Verfassungsrecht gerügt werden, verschaffen doch nicht alle Verfassungsbestimmungen auch ein verfassungsmässiges Recht. Individualrechte verleihen die Grundrechte ( Art. 7-33 BV ), die politischen und die Bürgerrechte ( Art. 34 und 37 BV ), sodann organisatorische Bestimmungen, die zugleich die Rechtsstellung der Einzelnen regeln, ferner auch die Rechte aus internationalen Menschenrechtskonventionen (Urteil 2C_287/2018 vom 21. September 2018 E. 1.3, nicht publ. in: BGE 144 I 340 ). Beim allgemeinen Verhältnismässigkeitsgrundsatz gemäss Art. 5 Abs. 2 BV handelt es sich nicht um ein verfassungsmässiges Recht, sondern lediglich um ein Verfassungsprinzip, dessen Verletzung im Rahmen von Art. 98 BGG nur zusammen mit einem verfassungsmässigen Individualrecht angerufen werden kann ( BGE 134 I 153 E. 4.1 S. 156 ; 125 I 161 E. 2b S. 163; zum Ganzen Urteil 2C_523/2020 vom 4. November 2020 E. 1.2). Dies alles trifft nach dem Grundsatz der Einheit des Verfahrens auch auf eine Abschreibungsverfügung zu.</w:t>
      </w:r>
    </w:p>
    <w:p>
      <w:r>
        <w:rPr>
          <w:b/>
        </w:rPr>
        <w:t>E. 1.4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w:t>
      </w:r>
    </w:p>
    <w:p>
      <w:r>
        <w:rPr>
          <w:b/>
        </w:rPr>
        <w:t>E. 1.5</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Die Anfechtung der vorinstanzlichen Feststellungen unterliegt der qualifizierten Rüge- und Begründungsobliegenheit ( BGE 146 III 73 E. 5.2.2 S. 80; vorne E. 1.4).</w:t>
      </w:r>
    </w:p>
    <w:p>
      <w:r>
        <w:rPr>
          <w:b/>
        </w:rPr>
        <w:t>E. 1.6.1</w:t>
      </w:r>
    </w:p>
    <w:p>
      <w:r>
        <w:t>Neue Tatsachen und Beweismittel dürfen im bundesgerichtlichen Verfahren gemäss Art. 99 Abs. 1 BGG nur vorgebracht werden, falls und soweit erst der Entscheid der Vorinstanz dazu Anlass gibt ( unechte Noven; BGE 146 II 150 E. 7.8.2 S. 185). Die Norm zielt auf Tatsachen und Beweismittel ab, die im vorinstanzlichen Verfahren - obwohl sie bereits vorhanden und der Partei bekannt waren - nicht vorgebracht und auch von den Unterinstanzen nicht festgestellt worden sind, nun aber durch das angefochtene Urteil rechtserheblich werden (Urteil 2C_463/2019 vom 8. Juni 2020 E. 2.2.4). Der vorinstanzliche Verfahrensausgang allein bildet aber noch keinen hinreichenden Anlass für die Zulässigkeit von unechten Noven, die bereits zuvor ohne Weiteres hätten vorgebracht werden können ( BGE 143 V 19 E. 1.2 S. 22 f.). Das Novenrecht vor Bundesgericht kann insbesondere nicht dazu dienen, ein prozessuales Verhalten, das im vorinstanzlichen Verfahren versäumt wurde, nachzuholen oder die verletzte Mitwirkungspflicht zu heilen (Urteil 2C_1115/2014 vom 29. August 2016 E. 1.4.1, nicht publ. in: BGE 142 II 488 ).</w:t>
      </w:r>
    </w:p>
    <w:p>
      <w:r>
        <w:rPr>
          <w:b/>
        </w:rPr>
        <w:t>E. 1.6.2</w:t>
      </w:r>
    </w:p>
    <w:p>
      <w:r>
        <w:t>Sind die Tatsachen erst nach dem angefochtenen Entscheid eingetreten ( echte Noven), können sie von vornherein nicht durch den angefochtenen Entscheid veranlasst sein. Solche Tatsachen müssen vor Bundesgericht in jedem Fall unberücksichtigt bleiben ( BGE 144 V 35 E. 5.2.4 S. 39).</w:t>
      </w:r>
    </w:p>
    <w:p>
      <w:r>
        <w:rPr>
          <w:b/>
        </w:rPr>
        <w:t>E. 1.6.3</w:t>
      </w:r>
    </w:p>
    <w:p>
      <w:r>
        <w:t>Wie dargelegt, hat die ESTV allem Anschein nach mit Verfügung vom 11. Juni 2020 die Zuständigkeit zur Veranlagung der direkten Bundessteuer hinsichtlich der Steuerpflichtigen in den Steuerperioden 2009 bis 2016 dem Kanton Zug zugewiesen (Sachverhalt, lit. F). Dies stellt - in Bezug auf die angefochtene Verfügung vom 12. Dezember 2019 - ein echtes Novum dar, das als solches unberücksichtigt zu bleiben hat. Die Steuerhoheitsverfügung der ESTV kann im vorliegenden Fall indes von vornherein keine Rolle spielen: Es ist unstreitig, dass die Steuerpflichtige Eigentümerin dreier im Kanton Luzern gelegener Grundstücke war, die sie zum Verkauf anbot. Aufgrund dessen bestand im Belegenheitskanton zumindest wirtschaftliche Zugehörigkeit, woran die Verfügung der ESTV nichts ändert.</w:t>
      </w:r>
    </w:p>
    <w:p>
      <w:r>
        <w:rPr>
          <w:b/>
        </w:rPr>
        <w:t>E. 2.1</w:t>
      </w:r>
    </w:p>
    <w:p>
      <w:r>
        <w:t>Bei der Sicherstellung im Sinne von Art. 169 DBG bzw. Art. 78 StHG i.V.m § 203 f. des Steuergesetzes des Kantons Luzern vom 22. November 1999 (StG/LU; SRL 620) handelt es sich um eine vorläufige Massnahme; sie hat keinen Einfluss auf Bestand und Höhe der Steuerforderung, präjudiziert also nichts (Urteil 2C_689/2019 vom 15. August 2019 E. 2.2.7).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geschuldete Steuer, Sicherstellungsgrund) glaubhaft gemacht werden (Urteil 2C_523/2020 vom 4. November 2020 E. 2.1).</w:t>
      </w:r>
    </w:p>
    <w:p>
      <w:r>
        <w:rPr>
          <w:b/>
        </w:rPr>
        <w:t>E. 2.2</w:t>
      </w:r>
    </w:p>
    <w:p>
      <w:r>
        <w:t>Die Belegenheitsgemeinde erliess am 18. Oktober 2018 betreffend die Staats- und Gemeindesteuer des Kantons bzw. die direkte Bundessteuer je eine Sicherstellungsverfügung betreffend die Steuerperioden 2009 bis 2015. Sie begründete dies damit, dass der Steuerbezug gefährdet sei, da die Steuerpflichtige die Zahlung der Steuerforderungen wiederholt unterlassen habe. Die Forderungssumme belief sich auf Fr. 35'023.20 (Staats- und Gemeindesteuern des Kantons Luzern) bzw. Fr. 52'881.20 (direkte Bundessteuer), insgesamt Fr. 87'904.40 (Sachverhalt, lit. B). Am 29. Mai 2019 erklärte die Belegenheitsgemeinde in den Arrestverfahren den Rückzug und beantragte sie beim Betreibungsamt, die Arreste seien im Betreibungsregister zu löschen, da die verarrestierten Steuerforderungen beglichen worden seien (Sachverhalt, lit. D). Nähere Einzelheiten sind dem angefochtenen Entscheid nicht zu entnehmen. Aus der Chronologie kann immerhin abgeleitet werden, dass die Steuerpflichtige der Zahlungspflicht nachkam und diese damit sinngemäss anerkannte (was nicht ausschliesst, dass sie einen Vorbehalt anbrachte). Ob zu diesem Zeitpunkt hinsichtlich der streitbetroffenen Steuerperioden 2009 bis 2015 bereits rechtskräftige Veranlagungsverfügungen vorlagen, ist nicht bekannt, aber auch nicht entscheidend, da die Sicherstellung "jederzeit" (so Art. 169 Abs. 1 DBG und § 203 Abs. 1 StG /LU) verlangt werden kann.</w:t>
      </w:r>
    </w:p>
    <w:p>
      <w:r>
        <w:rPr>
          <w:b/>
        </w:rPr>
        <w:t>E. 2.3</w:t>
      </w:r>
    </w:p>
    <w:p>
      <w:r>
        <w:t>Mit Blick auf die Staats- und Gemeindesteuern des Kantons Luzern ist an der verfassungsrechtlichen Haltbarkeit der verfügten Sicherstellung nicht zu zweifeln. Die Steuerpflichtige war im Kanton Luzern, wo sie Eigentümerin dreier Grundstücke war (Sachverhalt, lit. B), zumindest wirtschaftlich zugehörig ( Art. 21 Abs. 1 lit. c StHG ). Was die örtliche Zuständigkeit des Kantons Luzern zur Veranlagung der direkten Bundessteuer betrifft, war bis zuletzt umstritten, ob die Steuerpflichtige ihren Sitz oder den Ort ihrer tatsächlichen Verwaltung im Kanton Luzern habe ( Art. 105 Abs. 3 DBG ). Zum Zeitpunkt des angefochtenen Entscheids lag hierzu noch keine Verfügung seitens der ESTV vor (Sachverhalt, lit. E). Aufgrund des Grundeigentums der Gesellschaft war nicht auszuschliessen, dass auch der steuerrechtliche Sitz oder der Ort der tatsächlichen Verwaltung im Kanton Luzern liege. Die Vorinstanz durfte folglich, beschränkt auf die Zwecke der Sicherstellung, annehmen, es liege eine sicherzustellende direkte Bundessteuer vor. Diese Annahme beruhte auf objektiven Sachumständen und war folglich nicht willkürlich, zumal die Sicherstellung keine präjudizierende Wirkung auf das Veranlagungsverfahren entfaltet (vorne E. 2.1). Die Einwände der Steuerpflichtigen, soweit deren Vorbringen den Anforderungen von Art. 98 (vorne E. 1.3) in Verbindung mit Art. 106 Abs. 2 BGG (vorne E. 1.4) genügen, erweisen sich als unbegründet.</w:t>
      </w:r>
    </w:p>
    <w:p>
      <w:r>
        <w:rPr>
          <w:b/>
        </w:rPr>
        <w:t>E. 2.4</w:t>
      </w:r>
    </w:p>
    <w:p>
      <w:r>
        <w:t>Die Beschwerde ist abzuweisen, soweit darauf einzutreten ist.</w:t>
      </w:r>
    </w:p>
    <w:p>
      <w:r>
        <w:rPr>
          <w:b/>
        </w:rPr>
        <w:t>E. 3</w:t>
      </w:r>
    </w:p>
    <w:p>
      <w:r>
        <w:t>Nach dem Unterliegerprinzip (Art. 65 in Verbindung mit Art. 66 Abs. 1 Satz 1 BGG ) sind die Kosten des bundesgerichtlichen Verfahrens der Steuerpflichtigen aufzuerlegen.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