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96/2016 vom 1. Februar 2016</w:t>
      </w:r>
    </w:p>
    <w:p>
      <w:r>
        <w:t>Bundesgericht, 2016-02-01, DE</w:t>
      </w:r>
    </w:p>
    <w:p>
      <w:r>
        <w:rPr>
          <w:b/>
        </w:rPr>
        <w:t xml:space="preserve">Quelle: </w:t>
      </w:r>
      <w:r>
        <w:t>https://mcp.opencaselaw.ch/entscheid/bger_2C_96_2016</w:t>
      </w:r>
    </w:p>
    <w:p>
      <w:r>
        <w:t>FR: TF 2C 96/2016 du 1 février 2016</w:t>
      </w:r>
    </w:p>
    <w:p>
      <w:r>
        <w:t>IT: TF 2C 96/2016 del 1 febbraio 2016</w:t>
      </w:r>
    </w:p>
    <w:p>
      <w:pPr>
        <w:pStyle w:val="Heading2"/>
      </w:pPr>
      <w:r>
        <w:t>Regeste</w:t>
      </w:r>
    </w:p>
    <w:p>
      <w:r>
        <w:t>Submission | Grundrecht</w:t>
      </w:r>
    </w:p>
    <w:p>
      <w:pPr>
        <w:pStyle w:val="Heading2"/>
      </w:pPr>
      <w:r>
        <w:t>Erwägungen</w:t>
      </w:r>
    </w:p>
    <w:p>
      <w:r>
        <w:rPr>
          <w:b/>
        </w:rPr>
        <w:t>E. 1</w:t>
      </w:r>
    </w:p>
    <w:p>
      <w:r>
        <w:t>Die Integrierte Psychiatrie Winterthur und Zürcher Unterland (IPW) eröffnete mit Ausschreibung vom 18. September 2015 ein selektives Submissionsverfahren mit Präqualifikation für die Vergabe von Dienstleistungen im Sachbereich Datenverarbeitung. Innert Frist stellten insgesamt 19 Unternehmen einen Teilnahmeantrag. Am 3. November 2015 verfügte die IPW den Ausschluss des Teilnahmeantrags der X.________ GmbH. Gleichentags lud sie fünf Unternehmen zur Offertstellung ein. Auf die von der X.________ GmbH erhobene Beschwerde trat der Einzelrichter des Verwaltungsgerichts des Kantons Zürich mangels derer Legitimation am 28. Dezember 2015 nicht ein.</w:t>
      </w:r>
    </w:p>
    <w:p>
      <w:r>
        <w:rPr>
          <w:b/>
        </w:rPr>
        <w:t>E. 2</w:t>
      </w:r>
    </w:p>
    <w:p>
      <w:r>
        <w:t>Die Beschwerde ist offensichtlich unzulässig, weshalb darauf im vereinfachten Verfahren unter Angabe des Unzulässigkeitsgrundes ( Art. 108 Abs. 1 lit. a und Abs. 3 BGG ) nicht einzutreten ist.</w:t>
      </w:r>
    </w:p>
    <w:p>
      <w:r>
        <w:rPr>
          <w:b/>
        </w:rPr>
        <w:t>E. 2.1</w:t>
      </w:r>
    </w:p>
    <w:p>
      <w:r>
        <w:t>Art. 83 lit. f BGG schliesst die Beschwerde in öffentlich-rechtlichen Angelegenheiten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141 II 113 E. 1.2 S. 116 f.).</w:t>
      </w:r>
    </w:p>
    <w:p>
      <w:r>
        <w:rPr>
          <w:b/>
        </w:rPr>
        <w:t>E. 2.2</w:t>
      </w:r>
    </w:p>
    <w:p>
      <w:r>
        <w:t>Die Beschwerdeführerin legt nicht dar, inwiefern die Gegenausnahme von Art. 83 lit. f. BGG erfüllt wäre, was ihr obliegen würde ( Art. 42 Abs. 2 BGG ; BGE 141 II 113 E. 1.2 S. 117). Zulässig wäre damit einzig die subsidiäre Verfassungsbeschwerde ( Art. 113 ff. BGG ). Diesbezüglich wäre jedoch erforderlich, dass die Verletzung verfassungsmässiger Rechte ( Art. 116 BGG ) substantiiert gerügt würde (Art. 117 in Verbindung mit Art. 104 Abs. 2 BGG ). Auch daran fehlt es.</w:t>
      </w:r>
    </w:p>
    <w:p>
      <w:r>
        <w:rPr>
          <w:b/>
        </w:rPr>
        <w:t>E. 3</w:t>
      </w:r>
    </w:p>
    <w:p>
      <w:r>
        <w:t>Bei diesem Verfahrensausgang ist das Gesuch um aufschiebende Wirkung gegenstandslos und hat die Beschwerdeführerin die Kosten des bundesgerichtlichen Verfahrens zu tragen;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