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2C_964/2010 vom 5. Dezember 2011</w:t>
      </w:r>
    </w:p>
    <w:p>
      <w:r>
        <w:t>Bundesgericht, 2011-12-05, DE</w:t>
      </w:r>
    </w:p>
    <w:p>
      <w:r>
        <w:rPr>
          <w:b/>
        </w:rPr>
        <w:t xml:space="preserve">Quelle: </w:t>
      </w:r>
      <w:r>
        <w:t>https://mcp.opencaselaw.ch/entscheid/bger_2C_964_2010</w:t>
      </w:r>
    </w:p>
    <w:p>
      <w:r>
        <w:t>FR: TF 2C_964/2010 du 5 décembre 2011</w:t>
      </w:r>
    </w:p>
    <w:p>
      <w:r>
        <w:t>IT: TF 2C_964/2010 del 5 dicembre 2011</w:t>
      </w:r>
    </w:p>
    <w:p>
      <w:pPr>
        <w:pStyle w:val="Heading2"/>
      </w:pPr>
      <w:r>
        <w:t>Erwägungen</w:t>
      </w:r>
    </w:p>
    <w:p>
      <w:r>
        <w:rPr>
          <w:b/>
        </w:rPr>
        <w:t>E. 1.1</w:t>
      </w:r>
    </w:p>
    <w:p>
      <w:r>
        <w:t>Gemäss Art. 42 Abs. 1 des hier anwendbaren, am 1. Januar 2008 in Kraft getretenen Bundesgesetzes vom 16. Dezember 2005 über die Ausländerinnen und Ausländer (AuG, SR 142.20) haben ausländische Ehegatten und ledige Kinder unter 18 Jahren von Schweizerinnen und Schweizern Anspruch auf Erteilung der Aufenthaltsbewilligung, wenn sie mit diesen zusammenwohnen bzw. wichtige Gründe für das Getrenntleben - wie hier das Einreiseverbot - geltend machen können (vgl. Art. 49 AuG). Ein analoger Anspruch besteht zudem aufgrund des in Art. 8 EMRK bzw. Art. 13 Abs. 1 BV garantierten Rechts auf Achtung des Familienlebens, wenn nahe Angehörige - wie hier die Ehefrau - über ein gefestigtes Anwesenheitsrecht in der Schweiz verfügen und die familiäre Beziehung tatsächlich gelebt wird (statt vieler: BGE 130 II 281 E. 3.1 S. 285 f.).</w:t>
      </w:r>
    </w:p>
    <w:p>
      <w:r>
        <w:t>Soweit die Beschwerdeführer mit entsprechenden Sachverhaltsangaben einen solchen Bewilligungsanspruch geltend machen, ist ihre fristgerecht eingereichte Beschwerde in öffentlich-rechtlichen Angelegenheiten trotz des Ausschlussgrundes des Art. 83 lit. c Ziff. 2 AuG zulässig (vgl. Urteile 2C_231/2011 vom 21. Juli 2011, E. 1; 2C_388/2009 vom 9. Dezember 2009, E. 1).</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 Als so genanntes echtes Novum fällt die Berücksichtigung des Arztzeugnisses vom 4. April 2011 (vorne lit. D) daher ausser Betracht.</w:t>
      </w:r>
    </w:p>
    <w:p>
      <w:r>
        <w:rPr>
          <w:b/>
        </w:rPr>
        <w:t>E. 2.1</w:t>
      </w:r>
    </w:p>
    <w:p>
      <w:r>
        <w:t>Gemäss Art. 51 Abs. 1 AuG erlöschen die Ansprüche nach Art. 42 AuG (oben E. 1.1), wenn sie rechtsmissbräuchlich geltend gemacht werden (lit. a) oder Widerrufsgründe nach Art. 63 AuG vorliegen (lit. b). Einen derartigen Widerrufsgrund setzt ein Ausländer unter anderem dann, wenn er "zu einer längerfristigen Freiheitsstrafe verurteilt wurde" (Art. 62 lit. b AuG in Vebindung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In schwer wiegender Weise gegen die öffentliche Sicherheit und Ordnung verstösst in der Regel, wer durch seine Handlungen besonders hochwertige Rechtsgüter wie namentlich die körperliche, psychische und sexuelle Integrität eines Menschen verletzt oder gefährdet ( BGE 137 II 297 E. 3.3).</w:t>
      </w:r>
    </w:p>
    <w:p>
      <w:r>
        <w:t>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w:t>
      </w:r>
    </w:p>
    <w:p>
      <w:r>
        <w:rPr>
          <w:b/>
        </w:rPr>
        <w:t>E. 2.2</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153 E. 2.2.1 S. 156; 122 II 1 E. 2 S. 6 mit Hinweisen).</w:t>
      </w:r>
    </w:p>
    <w:p>
      <w:r>
        <w:t>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2C_793/2008 vom 27. März 2009, E. 2.1; 2A.65/2006 vom 23. Juni 2006, E. 2 mit Hinweis auf das Urteil des Europäischen Gerichtshofes für Menschenrechte vom 2. August 2001 i.S. Boultif gegen die Schweiz, publ. in: VPB 65/2001 Nr. 138 S. 1392 Rz. 48 S. 1389 f.; vgl. auch die Urteile des EGMR vom 18. Oktober 2006 i.S. Üner gegen die Niederlande, Rz. 57, sowie vom 23. Juni 2008 i.S. Maslov gegen Österreich, Rz. 57 f.).</w:t>
      </w:r>
    </w:p>
    <w:p>
      <w:r>
        <w:rPr>
          <w:b/>
        </w:rPr>
        <w:t>E. 3.1</w:t>
      </w:r>
    </w:p>
    <w:p>
      <w:r>
        <w:t>Das Verwaltungsgericht hat im Wesentlichen erwogen, der Beschwerdeführer sei während seines Aufenthaltes in der Schweiz innert knapp zwei Jahren viermal verurteilt worden (wovon drei Mal zu einer unbedingten Freiheitsstrafe). Er habe eine erhebliche kriminelle Energie gezeigt und sich auch durch Verurteilungen und das Ansetzen von Probezeiten nicht vom Drogenhandel abhalten lassen. So habe er innerhalb weniger Monate als Nichtsüchtiger in reiner Bereicherungsabsicht eine nicht unerhebliche Menge Kokain verkauft. Nicht ins Gewicht falle, dass die entsprechende Verurteilung bereits vier Jahre zurück liege, sei der Beschwerdeführer doch nach der Strafverbüssung ausgeschafft worden und habe er sich hierzulande gar nicht mehr bewähren können. Die Gefahr, dass er bei einem erneuten Aufenthalt in der Schweiz wiederum gegen die Rechtsordnung verstosse, sei angesichts seines Verhaltens während seines illegalen Aufenthalts erheblich und nicht hinzunehmen. Demgegenüber wiege das private Interesse der Eheleute geringer; ihr Eheleben könne nicht als besonders schützenswert bezeichnet werden. Obwohl der Ehefrau ein Umzug mit ihren vorehelich geborenen schulpflichtigen Kindern nach Nigeria kaum zugemutet werden könne, überwiege das öffentliche Interesse an der Fernhaltung des Beschwerdeführers bei weitem.</w:t>
      </w:r>
    </w:p>
    <w:p>
      <w:r>
        <w:rPr>
          <w:b/>
        </w:rPr>
        <w:t>E. 3.2</w:t>
      </w:r>
    </w:p>
    <w:p>
      <w:r>
        <w:t>Nicht in Zweifel gezogen werden kann, dass der Beschwerdeführer mit seiner Drogendelinquenz, derentwegen er mit einer Freiheitsstrafe von vierzehn Monaten verurteilt wurde, den Widerrufsgrund von Art. 62 lit. b AuG (Verurteilung zu einer "längerfristigen" Freiheitsstrafe) erfüllt (vorne E. 2.1). Die Beschwerdeführer rügen jedoch eine qualifiziert fehlerhafte Interessenabwägung und machen geltend, die Bewilligungsverweigerung erweise sich als unverhältnismässig. Die Voraussetzungen nach erfolgter Wiedereinreise präsentierten sich ganz anders als beim ersten Aufenthalt des Beschwerdeführers in der Schweiz. Der Betroffene werde mit der Ehefrau und deren Kindern über ein tragfähiges soziales Netz verfügen, in einer anderen Region leben und auf dem Arbeitsmarkt eine Beschäftigung finden können. Mit einer weiteren Delinquenz sei nicht zu rechnen.</w:t>
      </w:r>
    </w:p>
    <w:p>
      <w:r>
        <w:rPr>
          <w:b/>
        </w:rPr>
        <w:t>E. 3.3</w:t>
      </w:r>
    </w:p>
    <w:p>
      <w:r>
        <w:t>Eine strafrechtliche Verurteilung verunmöglicht die Erteilung einer (neuen) Aufenthaltsbewilligung nicht zwingend ein für allemal. Soweit der Ausländer, gegen den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(vgl. BGE 130 II 493 E. 5 S. 504; Urteile 2C_793/2008 vom 27. März 2009, E. 3.2, 2C_36/2009 vom 20. Oktober 2009).</w:t>
      </w:r>
    </w:p>
    <w:p>
      <w:r>
        <w:rPr>
          <w:b/>
        </w:rPr>
        <w:t>E. 3.4</w:t>
      </w:r>
    </w:p>
    <w:p>
      <w:r>
        <w:t>Diese Voraussetzungen sind vorliegend nicht gegeben: Der Beschwerdeführer lebt nach seinen Strafverbüssungen in der Schweiz erst seit September 2007 wieder in Nigeria; über sein dortiges Verhalten ist nichts bekannt. In der Schweiz dagegen logierte er bereits zu jener Zeit, als er mit Kokain gehandelt hatte, bei seiner heutigen Ehefrau (angefochtener Entscheid S. 12). Sein familiäres Umfeld, in das er nun zurückkehren will, hat ihn von der Drogendelinquenz nicht abhalten können, was sich unter dem Gesichtswinkel des Rückfallrisikos als ungünstig erweist (Urteil 2C_36/2009 vom 20. Oktober 2009, E. 3.5). Eine Integration in die hiesigen Verhältnisse erscheint, zumal der Beschwerdeführer auch keine Ausbildung oder ausgeübte Erwerbstätigkeiten nachweist, nicht absehbar. Schliesslich fällt im Rahmen der Interessenabwägung ins Gewicht, dass die Ehefrau und Mutter der zwei vorehelichen Kinder Kenntnis davon hatte, dass die Beziehung zu ihrem Ehemann angesichts der Straftaten möglicherweise nicht in der Schweiz gelebt werden kann (vorne E. 2.2).</w:t>
      </w:r>
    </w:p>
    <w:p>
      <w:r>
        <w:rPr>
          <w:b/>
        </w:rPr>
        <w:t>E. 4</w:t>
      </w:r>
    </w:p>
    <w:p>
      <w:r>
        <w:t>Nach dem Gesagten erweist sich die im angefochtenen Entscheid geschützte Verweigerung der von der Beschwerdeführerin für ihren Ehemann anbegehrten Aufenthaltsbewilligung als haltbar, verhältnismässig und damit gesetzes- und konventionskonform. Die Beschwerde ist mithin als unbegründet abzuweisen.</w:t>
      </w:r>
    </w:p>
    <w:p>
      <w:r>
        <w:t>Bei diesem Ausgang des Verfahrens werden die Gerichtskosten den Beschwerdeführern unter solidarischer Haftung auferlegt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