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961/2019 vom 18. November 2019</w:t>
      </w:r>
    </w:p>
    <w:p>
      <w:r>
        <w:t>Bundesgericht, 2019-11-18, FR</w:t>
      </w:r>
    </w:p>
    <w:p>
      <w:r>
        <w:rPr>
          <w:b/>
        </w:rPr>
        <w:t xml:space="preserve">Quelle: </w:t>
      </w:r>
      <w:r>
        <w:t>https://mcp.opencaselaw.ch/entscheid/bger_2C_961_2019</w:t>
      </w:r>
    </w:p>
    <w:p>
      <w:r>
        <w:t>FR: TF 2C 961/2019 du 18 novembre 2019</w:t>
      </w:r>
    </w:p>
    <w:p>
      <w:r>
        <w:t>IT: TF 2C 961/2019 del 18 novembre 2019</w:t>
      </w:r>
    </w:p>
    <w:p>
      <w:pPr>
        <w:pStyle w:val="Heading2"/>
      </w:pPr>
      <w:r>
        <w:t>Regeste</w:t>
      </w:r>
    </w:p>
    <w:p>
      <w:r>
        <w:t>Demande de reconsidération, cas de rigueur | Droit de cité et droit des étrangers</w:t>
      </w:r>
    </w:p>
    <w:p>
      <w:pPr>
        <w:pStyle w:val="Heading2"/>
      </w:pPr>
      <w:r>
        <w:t>Erwägungen</w:t>
      </w:r>
    </w:p>
    <w:p>
      <w:r>
        <w:rPr>
          <w:b/>
        </w:rPr>
        <w:t>E. 1</w:t>
      </w:r>
    </w:p>
    <w:p>
      <w:r>
        <w:t>Par décision du 9 février 2017, le Service cantonal de la population du canton de Vaud a refusé d'octroyer aux époux A.A.________ et B.A.________, ressortissants de Kosovo, nés en 1966, une autorisation de séjour sous quelque forme que ce soit et prononcé leur renvoi de Suisse. Le 4 février 2019, ces derniers ont déposé une demande d'octroi d'autorisation de séjour pour cas de rigueur. Par décision du 28 mars 2019, le Service cantonal de la population a rejeté la demande, considérée comme une demande de reconsidération, maintenu sa décision du 9 février 2017 et ordonné leur départ de Suisse. Par arrêt du 11 octobre 2019, le Tribunal cantonal du canton de Vaud a rejeté le recours déposé par les intéressés contre la décision rendue le 28 mars 2019 par le Service cantonal de la population du canton de Vaud.</w:t>
      </w:r>
    </w:p>
    <w:p>
      <w:r>
        <w:rPr>
          <w:b/>
        </w:rPr>
        <w:t>E. 2</w:t>
      </w:r>
    </w:p>
    <w:p>
      <w:r>
        <w:t>Par courrier du 11 novembre 2019, les intéressés ont déposé un recours auprès du Tribunal fédéral contre l'arrêt rendu le 11 octobre 2019 par le Tribunal cantonal du canton de Vaud. Ils se plaignent de la violation de leur droit au respect de la vie privée et de la vie de famille garanti par l' art. 8 CEDH .</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rPr>
          <w:b/>
        </w:rPr>
        <w:t>E. 3.1</w:t>
      </w:r>
    </w:p>
    <w:p>
      <w:r>
        <w:t>Selon la jurisprudence bien établie et contrairement à ce que prétendent les recourants, l' art. 8 CEDH vise en premier lieu la famille dite nucléaire, c'est-à-dire la communauté formée par les parents et leurs enfants mineurs ( ATF 140 I 77 consid. 5.2 p. 80 s.; 137 I 113 consid. 6.1 p. 118). Le Tribunal fédéral admet toutefois qu'un enfant majeur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p. 80 s.; 137 I 113 consid. 6.1 p. 118, arrêt 2C_920/2018 du 28 mai 2019 consid. 3.1). En l'espèce, les recourants ne font valoir aucun rapport de dépendance particulier avec leurs enfants majeurs vivant en Suisse au sens de la jurisprudence.</w:t>
      </w:r>
    </w:p>
    <w:p>
      <w:r>
        <w:rPr>
          <w:b/>
        </w:rPr>
        <w:t>E. 3.2</w:t>
      </w:r>
    </w:p>
    <w:p>
      <w:r>
        <w:t>Dans un arrêt récent, après avoir longuement rappelé la position de la Cour EDH sur le droit au respect de la vie familiale et le droit au respect de la vie privée garantis par l' art. 8 CEDH , dont la portée est la même en la matière que celle de l' art. 13 Cst.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En l'espèce, les recourants ont certes longuement résidé en Suisse, à tout le moins plus de dix ans, mais sans autorisation de séjour. Ils ne peuvent par conséquent pas invoquer la protection de la vie privée garantie par l' art. 8 CEDH .</w:t>
      </w:r>
    </w:p>
    <w:p>
      <w:r>
        <w:rPr>
          <w:b/>
        </w:rPr>
        <w:t>E. 3.3</w:t>
      </w:r>
    </w:p>
    <w:p>
      <w:r>
        <w:t>Le recours, considéré comme recours en matière de droit public, est irrecevable. Seule reste ouverte la voie du recours constitutionnel subsidiaire.</w:t>
      </w:r>
    </w:p>
    <w:p>
      <w:r>
        <w:rPr>
          <w:b/>
        </w:rPr>
        <w:t>E. 4.1</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n'ont pas droit à une autorisation de séjour (cf. consid. 3 ci-dessus), ne peuvent se prévaloir, puisqu'ils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 puisqu'ils n'invoquent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