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2C_95/2022 vom 27. Januar 2022</w:t>
      </w:r>
    </w:p>
    <w:p>
      <w:r>
        <w:t>Bundesgericht, 2022-01-27, FR</w:t>
      </w:r>
    </w:p>
    <w:p>
      <w:r>
        <w:rPr>
          <w:b/>
        </w:rPr>
        <w:t xml:space="preserve">Quelle: </w:t>
      </w:r>
      <w:r>
        <w:t>https://mcp.opencaselaw.ch/entscheid/bger_2C_95_2022</w:t>
      </w:r>
    </w:p>
    <w:p>
      <w:r>
        <w:t>FR: TF 2C_95/2022 du 27 janvier 2022</w:t>
      </w:r>
    </w:p>
    <w:p>
      <w:r>
        <w:t>IT: TF 2C_95/2022 del 27 gennaio 2022</w:t>
      </w:r>
    </w:p>
    <w:p>
      <w:pPr>
        <w:pStyle w:val="Heading2"/>
      </w:pPr>
      <w:r>
        <w:t>Erwägungen</w:t>
      </w:r>
    </w:p>
    <w:p>
      <w:r>
        <w:rPr>
          <w:b/>
        </w:rPr>
        <w:t>E. 1</w:t>
      </w:r>
    </w:p>
    <w:p>
      <w:r>
        <w:t>Par arrêt du 21 décembre 2021, la Chambre administrative de la Cour de justice du canton de Genève a rejeté le recours que A.________ avait déposé contre le jugement du Tribunal administratif de première instance du canton de Genève du 11 janvier 2021. Ce jugement confirmait la décision sur réclamation du 11 juin 2020 et la décision de taxation du 30 mars 2020, toutes deux rendues par l'Administration fiscale cantonale du canton de Genève. Ces deux décisions considéraient que le contribuable était assujetti de manière illimitée à l'impôt dans le canton de Genève et en Suisse pour la période fiscale 2016.</w:t>
      </w:r>
    </w:p>
    <w:p>
      <w:r>
        <w:rPr>
          <w:b/>
        </w:rPr>
        <w:t>E. 2</w:t>
      </w:r>
    </w:p>
    <w:p>
      <w:r>
        <w:t>Le 24 janvier 2022, le contribuable a adressé au Tribunal fédéral un recours contre l'arrêt rendu le 21 décembre 2021 par la Chambre administrative de la Cour de justice du canton de Genève. Ce courrier est en tout point identique au courrier du 11 février 2021 par lequel le contribuable avait saisi d'un recours l'instance précédente contre le jugement du Tribunal administratif de première instance du canton de Genève du 11 janvier 2021.</w:t>
      </w:r>
    </w:p>
    <w:p>
      <w:r>
        <w:rPr>
          <w:b/>
        </w:rPr>
        <w:t>E. 3</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Lorsque la partie recourante se contente de reprendre mot pour mot la même motivation que celle présentée devant l'instance précédente, il n'y a pas de lien entre la motivation attaquée et les griefs exposés dans le recours de sorte que ce dernier est inadmissible sous l'angle de l' art. 42 al. 2 LTF (cf. ATF 145 V 161 consid. 5.2; 134 II 244 consid. 2.3).</w:t>
      </w:r>
    </w:p>
    <w:p>
      <w:r>
        <w:t>En l'espèce, il apparaît que les griefs formulés dans le courrier du 24 janvier 2022 sont mot pour mot identiques à ceux exposés dans le courrier adressé le 11 février 2021 à l'instance précédente. Le recours ne répond par conséquent pas aux exigences de motivation de l' art. 42 al. 2 LTF .</w:t>
      </w:r>
    </w:p>
    <w:p>
      <w:r>
        <w:rPr>
          <w:b/>
        </w:rPr>
        <w:t>E. 4</w:t>
      </w:r>
    </w:p>
    <w:p>
      <w:r>
        <w:t>Dépourvu de motivation topique, le recours est ainsi manifestement irrecevable ( art. 108 al. 1 let. b LTF ) et doit être traité selon la procédure simplifiée de l' art. 108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