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2C_95/2020 vom 24. April 2020</w:t>
      </w:r>
    </w:p>
    <w:p>
      <w:r>
        <w:t>Bundesgericht, 2020-04-24, FR</w:t>
      </w:r>
    </w:p>
    <w:p>
      <w:r>
        <w:rPr>
          <w:b/>
        </w:rPr>
        <w:t xml:space="preserve">Quelle: </w:t>
      </w:r>
      <w:r>
        <w:t>https://mcp.opencaselaw.ch/entscheid/bger_2C_95_2020</w:t>
      </w:r>
    </w:p>
    <w:p>
      <w:r>
        <w:t>FR: TF 2C_95/2020 du 24 avril 2020</w:t>
      </w:r>
    </w:p>
    <w:p>
      <w:r>
        <w:t>IT: TF 2C_95/2020 del 24 aprile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du moment que le recourant a dissous le partenariat qui le liait à un ressortissant suisse, les art. 50 et 52 LEI (RS 142.20; dans sa version en vigueur avant le 1</w:t>
      </w:r>
    </w:p>
    <w:p>
      <w:r>
        <w:t>er janvier 2019 [RO 2007 5437], ci-après: LEtr; cf. art. 126 al. 1 LEI ), ainsi que 8 CEDH sont potentiellement de nature à lui conférer un droit à une autorisation de séjour. Le recours en matière de droit public et ainsi ouvert.</w:t>
      </w:r>
    </w:p>
    <w:p>
      <w:r>
        <w:rPr>
          <w:b/>
        </w:rPr>
        <w:t>E. 1.2</w:t>
      </w:r>
    </w:p>
    <w:p>
      <w:r>
        <w:t>Au surplus, le recours est dirigé contre une décision finale ( art. 90 LTF ) rendue dans une cause de droit public ( art. 82 let. a LTF ) par le Tribunal administratif fédéral ( art. 86 al. 1 let. a LTF ). Déposé dans le délai ( art. 100 al. 1 LTF ) et la forme ( art. 42 LTF ) prévus par la loi, le recours est en principe recevable, sous réserve de ce qui suit.</w:t>
      </w:r>
    </w:p>
    <w:p>
      <w:r>
        <w:rPr>
          <w:b/>
        </w:rPr>
        <w:t>E. 1.3</w:t>
      </w:r>
    </w:p>
    <w:p>
      <w:r>
        <w:t>Dans la mesure où le recourant entendait se plaindre de son renvoi de Suisse et requérir son admission provisoire, son recours est irrecevable sous l'angle du recours en matière de droit public (cf. art. 83 let . c ch. 3 et 4 LTF). Il l'est également sous l'angle du recours constitutionnel subsidiaire, l'arrêt attaqué émanant du Tribunal administratif fédéral ( art. 113 LTF</w:t>
      </w:r>
    </w:p>
    <w:p>
      <w:r>
        <w:t>a contrario ).</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t>En l'occurrence, dans la mesure où le recourant se prévaut de manière très générale d'établissement inexact des faits, il ne saurait être suivi. Il ne motive en effet pas à suffisance son grief, se contentant de présenter ses propres vision et appréciation des faits et de les opposer à celles de l'autorité précédente. Une telle manière de faire ne saurait être admise. Dans ces conditions, le Tribunal fédéral examinera le recours sur la seule base des faits retenus par le Tribunal administratif fédéral dans l'arrêt entrepris.</w:t>
      </w:r>
    </w:p>
    <w:p>
      <w:r>
        <w:rPr>
          <w:b/>
        </w:rPr>
        <w:t>E. 3</w:t>
      </w:r>
    </w:p>
    <w:p>
      <w:r>
        <w:t>Le recourant se plaint d'une violation des art. 49 et 50 LEtr, expliquant que son union conjugale a duré plus de trois ans, que son intégration est réussie (art. 50 al. 1 let. a LEtr) et que la poursuite de son séjour en Suisse s'impose pour des raisons personnelles majeures (art. 50 al. 1 let. b LEtr, en particulier en relation avec l' art. 8 CEDH ), notamment sur le vu de sa longue présence en Suisse. Le recourant ayant dissous le partenariat qui le liait à un ressortissant suisse, c'est à juste titre qu'il n'invoque pas l'art. 42 al. 1 LEtr, qui prévoit notamment que le conjoint d'un ressortissant suisse a droit à l'octroi d'une autorisation de séjour et à la prolongation de sa durée de validité à condition de vivre en ménage commun avec lui, étant par ailleurs rappelé que les art. 42 ss LEtr concernant le conjoint étranger s'appliquent par analogie aux partenaires enregistrés du même sexe (art. 52 LEtr).</w:t>
      </w:r>
    </w:p>
    <w:p>
      <w:r>
        <w:rPr>
          <w:b/>
        </w:rPr>
        <w:t>E. 4.1</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Il s'agit de deux conditions cumulatives ( ATF 140 II 345 consid. 4 p. 347). Le délai de trois ans prévu par cette disposition se calcule en fonction de la durée pendant laquelle les époux ont fait ménage commun en Suisse ( ATF 140 II 345 consid. 4.1 p. 348 et les références). La notion d'union conjugale de l'art. 50 al. 1 let. a LEtr va plus loin que celle du mariage. Alors que celui-ci peut n'être plus que formel, l'union conjugale implique une vie conjugale effective, sous réserve des exceptions mentionnées à l'art. 49 LEtr ( ATF 137 II 345 consid. 3.1.2 p. 347 et les références).</w:t>
      </w:r>
    </w:p>
    <w:p>
      <w:r>
        <w:t>Selon cette dernière disposition, l'exigence du ménage commun prévue aux art. 42 à 44 LEtr n'est pas applicable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La séparation due à une crise conjugale ne doit toutefois pas durer plus de quelques mois (arrêt 2C_646/2016 du 27 septembre 2016 consid. 6.1 et les références). La décision librement consentie des époux de "vivre ensemble séparément" ne constitue pas, à elle seule, une raison majeure au sens de l'art. 49 LEtr. L'art. 49 LEtr n'a en effet pas pour but de permettre aux époux de vivre séparés en Suisse pendant une longue période, mais exige que la communauté familiale soit maintenue (arrêt 2C_525/2019 du 16 septembre 2019 consid. 4.2 et les références).</w:t>
      </w:r>
    </w:p>
    <w:p>
      <w:r>
        <w:rPr>
          <w:b/>
        </w:rPr>
        <w:t>E. 4.2</w:t>
      </w:r>
    </w:p>
    <w:p>
      <w:r>
        <w:t>Il ressort des faits retenus par l'autorité précédente que le recourant a conclu un partenariat enregistré le 12 décembre 2013 et qu'il a emménagé avec son partenaire le 1</w:t>
      </w:r>
    </w:p>
    <w:p>
      <w:r>
        <w:t>er septembre 2014. Celui-ci travaillait dans le canton de Berne, alors que celui-là exerçait son activité professionnelle dans le canton de Vaud. La raison principale invoquée par le recourant pour justifier cette période de plus de huit mois de vie séparée est la difficulté à trouver un logement commun dans le canton de Vaud. Le recourant affirme en outre qu'à la suite de son enregistrement, son partenaire et lui ont dû déterminer où ils souhaitaient habiter et que l'absence de domicile commun ne les empêchait pas de mener une vie de couple, réelle et effective.</w:t>
      </w:r>
    </w:p>
    <w:p>
      <w:r>
        <w:rPr>
          <w:b/>
        </w:rPr>
        <w:t>E. 4.3</w:t>
      </w:r>
    </w:p>
    <w:p>
      <w:r>
        <w:t>En premier lieu, il convient de relever que, pour motiver son grief de violation de l'art. 49 LEtr, le recourant se fonde sur des pièces et des faits qui n'ont pas été retenus par l'autorité précédente, ce qui ne saurait être admis. Sur la base des faits retenus, il faut bien plus reconnaître que la longue durée de vie séparée du couple ne constituait pas une exception prévue par l'art. 49 LEtr. Tout d'abord, il ressort des faits de l'arrêt entrepris que les recherches d'appartement n'ont débuté qu'en avril 2014, c'est-à-dire plus de quatre mois après l'enregistrement du partenariat. En outre, si le recourant travaillait effectivement dans la région lausannoise, alors que son partenaire exerçait dans la région bernoise, il leur aurait été possible de chercher un logement entre ces deux régions, celles-ci étant facilement accessibles en transports publics ou en voiture. Par ailleurs, même si la région lausannoise présentait une pénurie de logement en 2014, comme l'affirme le recourant, les époux n'avaient pas à attendre plus de huit mois pour trouver un domicile dans un endroit sans pénurie et relativement proche de Lausanne (entre Lausanne et Berne se trouvant notamment la ville de Fribourg). La période de vie séparée des partenaires est trop importante pour que leur situation puisse être considérée autrement que comme une volonté de "vivre ensemble séparément". Par conséquent, il faut retenir, à l'instar du Tribunal administratif fédéral, que l'union conjugale au sens de l'art. 50 al. 1 let. a LEtr a commencé le 1</w:t>
      </w:r>
    </w:p>
    <w:p>
      <w:r>
        <w:t>er septembre 2014, lorsque les partenaires ont emménagé ensemble, et a pris fin le 1</w:t>
      </w:r>
    </w:p>
    <w:p>
      <w:r>
        <w:t>er janvier 2017 lors de la séparation. Ainsi, faute d'une durée d'union conjugale de trois ans, le recourant ne saurait se prévaloir de l'art. 50 al. 1 let. a LEtr. Son grief doit donc être écarté.</w:t>
      </w:r>
    </w:p>
    <w:p>
      <w:r>
        <w:rPr>
          <w:b/>
        </w:rPr>
        <w:t>E. 5.1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et les références).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395 et les références). Comme il s'agit de cas de rigueur survenant à la suite de la dissolution de la famille, en relation avec l'autorisation de séjour découlant du mariage, respectivement du partenariat enregistré,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Celles-ci ne sont pas exhaustives ( ATF 136 II 1 consid. 5.3 p. 4). En font notamment partie les violences conjugales (art. 50 al. 2 LEtr et 77 al. 2 OASA), qui doivent revêtir une certaine intensité, la réintégration fortement compromise dans le pays d'origine et le cas dans lequel le conjoint duquel dépend le droit de séjour de l'étranger décède ( ATF 136 II 1 consid. 5.3 p. 4).</w:t>
      </w:r>
    </w:p>
    <w:p>
      <w:r>
        <w:rPr>
          <w:b/>
        </w:rPr>
        <w:t>E. 5.2</w:t>
      </w:r>
    </w:p>
    <w:p>
      <w:r>
        <w:t>Le recourant invoque la situation des homosexuels dans son pays d'origine, ainsi que son état psychique, nécessitant un traitement psychiatrique comme raisons personnelles majeures.</w:t>
      </w:r>
    </w:p>
    <w:p>
      <w:r>
        <w:t>A ce propos, il ressort de l'arrêt entrepris que le recourant a quitté son pays d'origine, où vit sa famille, à l'âge de 22 ans. Il y est retourné à plusieurs reprises, notamment avec ses deux partenaires. Il a également affirmé qu'il hériterait d'une maison et d'un terrain au Pérou. En outre, le Tribunal administratif fédéral a admis que les homosexuels pouvaient souffrir de discrimination au Pérou. Il a néanmoins retenu que ce pays était le premier en Amérique latine à avoir dépénalisé l'homosexualité en 1837. Il a ajouté que la loi péruvienne prévoit l'égalité de protection en cas de discrimination basée sur l'orientation sexuelle ou l'identité de genre. L'autorité précédente a également constaté que le recourant avait vécu durant 22 ans dans son pays d'origine, sans prétendre que son homosexualité lui aurait porté préjudice. Quant aux traitements psychiatriques, le Tribunal administratif fédéral a retenu que rien ne permettait de considérer que le traitement suivi en Suisse ne serait pas accessible au Pérou. Il n'est pas non plus établi que le traitement que le recourant suit en Suisse soit nécessaire. A ce propos, outre un certificat médical de son psychiatre traitant, le recourant n'a rien produit pour démontrer les obstacles auxquels il prétend être confronté dans son pays d'origine.</w:t>
      </w:r>
    </w:p>
    <w:p>
      <w:r>
        <w:rPr>
          <w:b/>
        </w:rPr>
        <w:t>E. 5.3</w:t>
      </w:r>
    </w:p>
    <w:p>
      <w:r>
        <w:t>Sur le vu des éléments de fait qui précèdent et qui lient le Tribunal fédéral ( art. 105 al. 1 LTF ), force est de constater qu'un retour du recourant dans son pays d'origine n'est aucunement compromis. Outre qu'il y bénéficie d'un cercle familial et qu'il en parle la langue, le recourant, dont le partenariat a été dissous, est sans enfant et au bénéfice d'une formation qu'il pourra mettre à profit au Pérou. Si nécessaire, ses problèmes de santé pourront également être suivis. Finalement, rien n'indique qu'il serait la cible de discriminations en raison de son orientation sexuelle. Le grief de violation de l'art. 50 al. 1 let. b et al. 2 LEtr doit ainsi également être écarté.</w:t>
      </w:r>
    </w:p>
    <w:p>
      <w:r>
        <w:rPr>
          <w:b/>
        </w:rPr>
        <w:t>E. 6</w:t>
      </w:r>
    </w:p>
    <w:p>
      <w:r>
        <w:t>Le recourant invoque encore l' art. 8 CEDH et la garantie de sa vie privée.</w:t>
      </w:r>
    </w:p>
    <w:p>
      <w:r>
        <w:rPr>
          <w:b/>
        </w:rPr>
        <w:t>E. 6.1</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rPr>
          <w:b/>
        </w:rPr>
        <w:t>E. 6.2</w:t>
      </w:r>
    </w:p>
    <w:p>
      <w:r>
        <w:t>En l'occurrence, le recourant reconnaît expressément ne pas être en Suisse depuis plus de dix ans. En outre, l'autorisation de séjour qu'il a reçue lors de la conclusion de son premier partenariat a pris fin à la suite de la dissolution de cette union. Le Service de la population a d'ailleurs informé le recourant en 2014 qu'il avait l'intention de refuser la prolongation demandée (à propos d'une durée de séjour de plus de neuf ans, mais moins de dix, cf. arrêt 2C_990/2018 du 27 septembre 2019 consid. 2.3). Par conséquent, pour pouvoir se prévaloir de l' art. 8 CEDH sous l'angle de la vie privée avec une telle durée de séjour, le recourant doit faire montre de liens sociaux et professionnels spécialement intenses avec la Suisse, notablement supérieurs à ceux qui résultent d'une intégration ordinaire ( ATF 144 I 266 consid. 3.9 p. 278 s.; 130 II 281 consid. 3.2.1 p. 286). Or, comme l'a retenu l'autorité précédente, le recourant a vécu toute son enfance et son adolescence dans son pays d'origine. S'il a certes repris des études en Suisse depuis une année et trouvé un travail d'étudiant, force est de constater qu'il n'est pas indépendant financièrement. En outre, même s'il n'a pas de dettes et qu'il est membre de deux associations, cette situation ne constitue pas autre chose qu'une intégration ordinaire et n'est pas à ce point poussée pour qu'il faille reconnaître au recourant un droit à la garantie de la vie privée protégée par l' art. 8 CEDH .</w:t>
      </w:r>
    </w:p>
    <w:p>
      <w:r>
        <w:rPr>
          <w:b/>
        </w:rPr>
        <w:t>E. 7</w:t>
      </w:r>
    </w:p>
    <w:p>
      <w:r>
        <w:t>Sur le vu des considérants qui précèdent, il convient donc de rejeter le recours,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