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2C_959/2022 vom 9. Dezember 2022</w:t>
      </w:r>
    </w:p>
    <w:p>
      <w:r>
        <w:t>Bundesgericht, 2022-12-09, IT</w:t>
      </w:r>
    </w:p>
    <w:p>
      <w:r>
        <w:rPr>
          <w:b/>
        </w:rPr>
        <w:t xml:space="preserve">Quelle: </w:t>
      </w:r>
      <w:r>
        <w:t>https://mcp.opencaselaw.ch/entscheid/bger_2C_959_2022</w:t>
      </w:r>
    </w:p>
    <w:p>
      <w:r>
        <w:t>FR: TF 2C_959/2022 du 9 décembre 2022</w:t>
      </w:r>
    </w:p>
    <w:p>
      <w:r>
        <w:t>IT: TF 2C_959/2022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w:t>
      </w:r>
    </w:p>
    <w:p>
      <w:r>
        <w:t>Dopo avere domandato alcuni chiarimenti, la banca ha trasmesso all'AFC le informazioni richieste da quest'ultima.</w:t>
      </w:r>
    </w:p>
    <w:p>
      <w:r>
        <w:rPr>
          <w:b/>
        </w:rPr>
        <w:t>E. 1.4</w:t>
      </w:r>
    </w:p>
    <w:p>
      <w:r>
        <w:t>Con decisione finale del 15 giugno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16 luglio 2020, l'interessato ha interposto ricorso al Tribunale amministrativo federale, opponendosi all'esecuzione della domanda. Con sentenza del 20 ottobre 2022, tale autorità ha respinto il ricorso.</w:t>
      </w:r>
    </w:p>
    <w:p>
      <w:r>
        <w:rPr>
          <w:b/>
        </w:rPr>
        <w:t>E. 1.5</w:t>
      </w:r>
    </w:p>
    <w:p>
      <w:r>
        <w:t>Il 24 novembre 2022, A.________ ha inoltrato davanti al Tribunale federale un ricorso in materia di diritto pubblico con cui, protestate spese e ripetibili, domanda che la decisione impugnata sia annullata rispettivamente riformata e: in via principale, che la richiesta di assistenza amministrativa del 23 novembre 2018 sia dichiarata inammissibile; in via subordinata, che sia fatto divieto all'AFC di trasmettere all'Agenzia italiana delle entrate informazioni che lo riguardano; in via ancor più subordinata, che la causa sia rinviata all'istanza inferiore, eventualmente all'AFC, per nuova pronuncia.</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w:t>
      </w:r>
    </w:p>
    <w:p>
      <w:r>
        <w:t>L'insorgente sostiene che la causa concerne una questione di diritto di importanza fondamentale ( art. 84a LTF ).</w:t>
      </w:r>
    </w:p>
    <w:p>
      <w:r>
        <w:rPr>
          <w:b/>
        </w:rPr>
        <w:t>E. 3.1</w:t>
      </w:r>
    </w:p>
    <w:p>
      <w:r>
        <w:t>Come rilevato nell'impugnativa, la domanda raggruppata in esame poggia sull'art. 27 della Convenzione del 9 marzo 1976 tra la Confederazione Svizzera e la Repubblica Italiana per evitare le doppie imposizioni e per regolare talune altre questioni in materia di imposte sul reddito e sul patrimonio (CDI CH-IT; RS 0.672.945.41) nonché sulla lett. ebis del Protocollo aggiuntivo, sottoscritto il 23 febbraio 2015 ed approvato dall'Assemblea federale il 18 marzo 2016, con effetto dal 13 luglio 2016 (RU 2016 2767; RU 2016 2769; FF 2015 5631; sentenza 2C_73/2021 del 27 dicembre 2021 consid. 3.2 seg.).</w:t>
      </w:r>
    </w:p>
    <w:p>
      <w:r>
        <w:t>Per il ricorrente, la questione di diritto di importanza fondamentale ( art. 84a LTF ), che dovrebbe permettere di entrare in materia sul gravame sarebbe ravvisabile nella necessità di esprimersi sull'interpretazione rispettivamente sull'applicazione dell'art. III paragrafo 2 del citato Protocollo, che ha il seguente tenore: "2. Le disposizioni del presente Protocollo di modifica sono applicabili alle domande di informazioni presentate alla data dell'entrata in vigore del Protocollo di modifica, o dopo tale data, che si riferiscono a fatti e, o, circostanze esistenti o realizzate il giorno della firma del Protocollo di modifica, o dopo questa data".</w:t>
      </w:r>
    </w:p>
    <w:p>
      <w:r>
        <w:t>Preso atto del fatto che il protocollo si applica a domande di assistenza amministrativa presentate dal 13 luglio 2016 in avanti (entrata in vigore del Protocollo) e in relazione ad informazioni che si riferiscono a fatti e, o, circostanze esistenti o realizzate dal 23 febbraio 2015 in avanti (firma del protocollo), l'insorgente considera in particolare necessario chiarire se tra questi fatti rientrino anche la lettera che la banca avrebbe inviato ai clienti il 3 febbraio 2014 (cfr. precedente consid. 1.1) rispettivamente l'analoga lettera che la banca ha inviato ai propri clienti il 20 febbraio 2015. Se anch'esse rientrassero tra gli elementi che determinano il "modello di comportamento" - continua il ricorrente, senza per altro addurre argomenti concreti a sostegno della propria tesi - alla domanda di assistenza non andrebbe infatti dato seguito, perché entrambi questi scritti risalgono a una data precedente il giorno della sottoscrizione del Protocollo aggiuntivo (il 23 febbraio 2015).</w:t>
      </w:r>
    </w:p>
    <w:p>
      <w:r>
        <w:rPr>
          <w:b/>
        </w:rPr>
        <w:t>E. 3.2</w:t>
      </w:r>
    </w:p>
    <w:p>
      <w:r>
        <w:t>Ora, in merito alla richiesta raggruppata di assistenza amministrativa del 23 novembre 2018, da cui è partita la presente causa (cfr. precedente consid. 1.1), il Tribunale federale si è già pronunciato nella sentenza 2C_73/2021 del 27 dicembre 2021.</w:t>
      </w:r>
    </w:p>
    <w:p>
      <w:r>
        <w:t>Anche in quel caso, la procedura riguardava due contribuenti che, al pari del qui ricorrente, avevano ricevuto la lettera del 20 febbraio 2015, e il gravame è stato respinto, nella misura della sua ammissibilità.</w:t>
      </w:r>
    </w:p>
    <w:p>
      <w:r>
        <w:rPr>
          <w:b/>
        </w:rPr>
        <w:t>E. 3.3</w:t>
      </w:r>
    </w:p>
    <w:p>
      <w:r>
        <w:t>Proprio alla luce di tale sentenza, va tuttavia rilevato che la questione formulata dal ricorrente non è affatto di importanza fondamentale ai sensi dell' art. 84a LTF , e che - in realtà - nemmeno si pone.</w:t>
      </w:r>
    </w:p>
    <w:p>
      <w:r>
        <w:rPr>
          <w:b/>
        </w:rPr>
        <w:t>E. 3.3.1</w:t>
      </w:r>
    </w:p>
    <w:p>
      <w:r>
        <w:t>Come risulta da più passaggi della sentenza 2C_73/2021 del 27 dicembre 2021 (al riguardo, cfr. i considerandi 4.3.1, 4.3.2, 6.1 e 6.2), applicando l'art. 27 CDI CH-I e il protocollo ad essa relativo, determinante non è infatti la lettera in quanto tale, bensì il comportamento dei clienti della banca dopo averne preso conoscenza, quindi se gli stessi abbiano o meno fornito alla banca medesima delle prove sufficienti del rispetto dei propri obblighi fiscali nei confronti delle autorità italiane, come previsto pure dalla domanda di assistenza (cfr. precedente consid. 1.2 lett. d: "nonostante tale lettera, il titolare del conto non ha fornito [alla banca] prove sufficienti del rispetto degli obblighi fiscali").</w:t>
      </w:r>
    </w:p>
    <w:p>
      <w:r>
        <w:rPr>
          <w:b/>
        </w:rPr>
        <w:t>E. 3.3.2</w:t>
      </w:r>
    </w:p>
    <w:p>
      <w:r>
        <w:t>D'altra parte, proprio l'assenza della produzione di prove relative al rispetto delle normative tributarie italiane, nel periodo oggetto della domanda (che si estende dal 23 febbraio 2015 al 31 dicembre 2016; cfr. precedente consid. 1.2), viene rimproverata pure al qui ricorrente. In base ai fatti che risultano dal giudizio impugnato (ivi, consid. 5.2), che vincolano il Tribunale federale ( art. 105 cpv. 1 LTF ), egli è in effetti venuto a conoscenza dei contenuti della lettera del 20 febbraio 2015 il 15 settembre successivo - recandosi in banca, consultando il fermo posta, e dando ordine di distruggere la corrispondenza a lui destinata - dopo di che, non ha però reagito a tale scritto, omettendo di fornire alla banca la prova che gli era stata richiesta.</w:t>
      </w:r>
    </w:p>
    <w:p>
      <w:r>
        <w:rPr>
          <w:b/>
        </w:rPr>
        <w:t>E. 3.4</w:t>
      </w:r>
    </w:p>
    <w:p>
      <w:r>
        <w:t>Negata l'esistenza di una questione di diritto di importanza fondamentale ( art. 84 a LTF ), va infine osservato che nella fattispecie non è nemmeno ravvisabile un caso particolarmente importante ai sensi dell'art. 84a in relazione con l' art. 84 cpv. 2 LTF .</w:t>
      </w:r>
    </w:p>
    <w:p>
      <w:r>
        <w:t>Riguardo al rispetto delle condizioni previste dall' art. 84 cpv. 2 LTF (cfr. precedente consid. 2), l'impugnativa non contiene infatti motivazione alcuna e una simile lesione non salta altrimenti all'occhio (sentenza 2C_77/2022 del 4 febbraio 2022 consid. 2).</w:t>
      </w:r>
    </w:p>
    <w:p>
      <w:r>
        <w:rPr>
          <w:b/>
        </w:rPr>
        <w:t>E. 4</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