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2C_958/2021 vom 8. Dezember 2021</w:t>
      </w:r>
    </w:p>
    <w:p>
      <w:r>
        <w:t>Bundesgericht, 2021-12-08, FR</w:t>
      </w:r>
    </w:p>
    <w:p>
      <w:r>
        <w:rPr>
          <w:b/>
        </w:rPr>
        <w:t xml:space="preserve">Quelle: </w:t>
      </w:r>
      <w:r>
        <w:t>https://mcp.opencaselaw.ch/entscheid/bger_2C_958_2021</w:t>
      </w:r>
    </w:p>
    <w:p>
      <w:r>
        <w:t>FR: TF 2C_958/2021 du 8 décembre 2021</w:t>
      </w:r>
    </w:p>
    <w:p>
      <w:r>
        <w:t>IT: TF 2C_958/2021 del 8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(Switzerland)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C.________ a transmis à l'Administration fédérale les informations demandées entre le 24 juin 2016 et le 28 juillet 2017.</w:t>
      </w:r>
    </w:p>
    <w:p>
      <w:r>
        <w:t>A leur demande, l'Administration fédérale a transmis l'intégralité des pièces du dossier les concernant à A.________ et à la société B.________ entre mai 2017 et juillet 2020.</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décisions finales du 13 novembre 2020 notifiées à A.________ et à la société B.________, a accordé l'assistance administrative requise. Par acte du 14 décembre 2020, A.________ et B.________ ont recouru contre ces décisions finales auprès du Tribunal administratif fédéral, concluant, principalement, à leur annulation.</w:t>
      </w:r>
    </w:p>
    <w:p>
      <w:r>
        <w:t>Par arrêt du 9 novembre 2021, le Tribunal administratif fédéral a rejeté le recours.</w:t>
      </w:r>
    </w:p>
    <w:p>
      <w:r>
        <w:rPr>
          <w:b/>
        </w:rPr>
        <w:t>E. 1.5</w:t>
      </w:r>
    </w:p>
    <w:p>
      <w:r>
        <w:t>A l'encontre de cet arrêt, A.________ et B.________ forment un recours en matière de droit public au Tribunal fédéral. Sous suite de frais et dépens, ils concluent en substance à l'annulation des "décisions dont est recours" et au refus de l'assistance administrative requise; subsidiairement, à ce que le Tribunal fédéral dise "qu'il n'y a pas lieu pour l'Administration fédérale de mentionner le solde en compte des recourants pour l'année 2013".</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w:t>
      </w:r>
    </w:p>
    <w:p>
      <w:r>
        <w:t>er mars 2016 consid. 1.2 non publié in ATF 142 II 69 , mais in Pra 2016/60 p. 574 et in RDAF 2016 II 50). 3.</w:t>
      </w:r>
    </w:p>
    <w:p>
      <w:r>
        <w:rPr>
          <w:b/>
        </w:rPr>
        <w:t>E. 3</w:t>
      </w:r>
    </w:p>
    <w:p>
      <w:r>
        <w:t>Les recourants soutiennent que la présente cause soulève six questions juridiques de principe.</w:t>
      </w:r>
    </w:p>
    <w:p>
      <w:r>
        <w:rPr>
          <w:b/>
        </w:rPr>
        <w:t>E. 3.1</w:t>
      </w:r>
    </w:p>
    <w:p>
      <w:r>
        <w:t>Les cinq premières sont toutes en lien avec le fait que l'entité qui a fourni les renseignements à l'Administration fédérale est, selon les recourants, "C.________ Switzerland SA". Or, pour les recourants, ce fait soulèverait plusieurs questions juridiques de principe. Pour autant qu'on les comprenne, il s'agit, en substance, de savoir si l'Administration fédérale peut faire abstraction du droit suisse en récoltant des renseignements auprès de C.________ Switzerland SA, alors que cette entité n'est pas celle qui est désignée dans la demande d'assistance du 11 mai 2016, qu'elle n'aurait aucune qualité pour détenir ces renseignements, car elle n'existait pas à l'époque des faits invoqués à l'appui de la demande d'assistance administrative du 11 mai 2016 et qu'elle n'aurait pas succédé à celle auprès de laquelle ils avaient des relations juridiques, à savoir C.________ SA (cf. mémoire p. 11). Ils se demandent s'il est admissible de faire abstraction du fait que l'on est en présence de "deux entités suisses" distinctes et de récolter des renseignements auprès de l'une d'elles, alors que c'est l'autre (C.________ SA) qui détenait les renseignements bancaires litigieux à l'époque, renseignements qui seraient couverts par le secret bancaire.</w:t>
      </w:r>
    </w:p>
    <w:p>
      <w:r>
        <w:rPr>
          <w:b/>
        </w:rPr>
        <w:t>E. 3.2</w:t>
      </w:r>
    </w:p>
    <w:p>
      <w:r>
        <w:t>Les recourants affirment de manière purement appellatoire que l'entité qui a fourni les renseignements à l'Administration fédérale - dont elle ne nie pas qu'elle fait partie du groupe C.________ - n'était pas légitimée à les détenir ou à les obtenir d'une autre entité faisant partie de la banque. Le Tribunal fédéral ne saurait entrer en matière sur la base de simples allégations. On relèvera au surplus, en réponse aux recourants qui affirment que C.________ Switzerland SA n'a pas succédé à C.________ SA que, le 12 juin 2015, C.________ Switzerland AG a, par transfert de patrimoine au sens de l'art. 69 de la loi fédérale 3 octobre 2003 sur la fusion (RS 221.301), repris de C.________ SA les activités de "Retail &amp; Corporate" ("Clientèle privée" et "Clientèle entreprises") ainsi que de "Wealth Management" comptabilisées en Suisse (cf. arrêt 5A_734/2018 du 4 décembre 2018 consid. A.b).</w:t>
      </w:r>
    </w:p>
    <w:p>
      <w:r>
        <w:t>Quoi qu'il en soit, la question de l' (in-) opposabilité du secret bancaire suisse à une demande d'assistance administrative est tranchée depuis l'arrêt 2C_1174/2014 du 24 septembre 2015, publié in ATF 142 II 161 . Cet arrêt a examiné en détail les conséquences de la reprise par la Suisse du standard de l'art. 26 Modèle de Convention fiscale de l'OCDE dans les clauses d'échanges de renseignements, dont fait partie celle qui lie la Suisse et la France et qui est à la base de la demande d'assistance administrative du 11 mai 2016, pour en conclure que l'Administration fédérale disposait des pouvoirs de procédure nécessaires pour exiger des banques suisses la transmission de renseignements, sans qu'elles puissent lui opposer l' art. 47 LB ou toute autre disposition de droit interne (cf. notamment consid. 4.5.2 in fine de l'arrêt). Les recourants n'expliquent pas en quoi la situation prétendument spécifique du cas d'espèce nécessiterait un nouvel examen de cette question ou soulèverait une nouvelle question juridique de principe.</w:t>
      </w:r>
    </w:p>
    <w:p>
      <w:r>
        <w:rPr>
          <w:b/>
        </w:rPr>
        <w:t>E. 3.3</w:t>
      </w:r>
    </w:p>
    <w:p>
      <w:r>
        <w:t>Les recourants font aussi valoir que la présente cause pose la question juridique de principe suivante: "L'autorité fédérale peut-elle transmettre à l'étranger des informations qui ont été obtenues par elle en violation du droit suisse, et par des procédés qu'elle ne pourrait jamais utiliser au regard du droit suisse dans le cadre d'une investigation fiscale suisse ?"</w:t>
      </w:r>
    </w:p>
    <w:p>
      <w:r>
        <w:t>Telle qu'elle est rédigée ("obtenues par elle"), on comprend que les recourants accusent ici l'Administration fédérale elle-même d'avoir obtenu des renseignements en violation du droit suisse. Cette mise en cause est dénuée de toute explication qui serait propre à lui conférer de la crédibilité.</w:t>
      </w:r>
    </w:p>
    <w:p>
      <w:r>
        <w:t>Même s'il fallait interpréter la question soulevée en ce sens que les recourants reprochent à l'Administration fédérale d'avoir donné suite à une demande de renseignements, alors que celle-ci reposerait sur des données volées, cette question n'est pas non plus propre à soulever une question juridique de principe. Le Tribunal fédéral s'est déjà prononcé sur ces questions. Il a retenu qu'hormis le cas où l'Etat requérant aurait lui-même acheté des données bancaires, le point de savoir s'il se comporte de mauvaise foi à l'égard de la Suisse en présentant une demande en lien avec des données volées en Suisse (cf. art. 7 let . c LAAF) doit s'examiner en fonction de chaque cas d'espèce (cf. ATF 143 II 224 consid. 6.4, plus spécifiquement 6.5-6.7). En l'occurrence, il ressort des faits constatés dans l'arrêt attaqué que les listes de données à la base de la demande d'assistance du 11 mai 2016 ont été saisies dans le cadre d'une enquête diligentée par le parquet de Bochum auprès des succursales allemandes de la banque C.________ et transmises à la France à sa demande, en application de la Directive 2011/16/UE. Dans ce contexte, le Tribunal fédéral a déjà constaté que l'autorité requérante avait obtenu des informations issues d'une perquisition menée par les autorités allemandes par une procédure légale (cf. aussi arrêts 2C_435/2021 du 2 juin 2021 consid. 3.2 et 2C_320/2021 du 30 avril 2021 consid. 4.2). La question soulevée ne se pose donc pas.</w:t>
      </w:r>
    </w:p>
    <w:p>
      <w:r>
        <w:rPr>
          <w:b/>
        </w:rPr>
        <w:t>E. 4</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5</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