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957/2016 vom 18. Oktober 2016</w:t>
      </w:r>
    </w:p>
    <w:p>
      <w:r>
        <w:t>Bundesgericht, 2016-10-18, DE</w:t>
      </w:r>
    </w:p>
    <w:p>
      <w:r>
        <w:rPr>
          <w:b/>
        </w:rPr>
        <w:t xml:space="preserve">Quelle: </w:t>
      </w:r>
      <w:r>
        <w:t>https://mcp.opencaselaw.ch/entscheid/bger_2C_957_2016</w:t>
      </w:r>
    </w:p>
    <w:p>
      <w:r>
        <w:t>FR: TF 2C 957/2016 du 18 octobre 2016</w:t>
      </w:r>
    </w:p>
    <w:p>
      <w:r>
        <w:t>IT: TF 2C 957/2016 del 18 ottobre 2016</w:t>
      </w:r>
    </w:p>
    <w:p>
      <w:pPr>
        <w:pStyle w:val="Heading2"/>
      </w:pPr>
      <w:r>
        <w:t>Regeste</w:t>
      </w:r>
    </w:p>
    <w:p>
      <w:r>
        <w:t>Unentgeltliche Rechtspflege | Öffentliche Finanzen &amp; Abgaberecht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Gerichtskosten von Fr. 500.-- werden dem Beschwerdeführer auferlegt.</w:t>
      </w:r>
    </w:p>
    <w:p>
      <w:r>
        <w:rPr>
          <w:b/>
        </w:rPr>
        <w:t>E. 4</w:t>
      </w:r>
    </w:p>
    <w:p>
      <w:r>
        <w:t>Dieses Urteil wird den Verfahrensbeteiligten und dem Verwaltungsgericht des Kantons St. Gallen schriftlich mitgeteilt. Lausanne, 18. Oktober 2016 Im Namen der II. öffentlich-rechtlichen Abteilung des Schweizerischen Bundesgerichts Der Präsident: Seiler 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