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2C_956/2020 vom 3. Dezember 2020</w:t>
      </w:r>
    </w:p>
    <w:p>
      <w:r>
        <w:t>Bundesgericht, 2020-12-03, FR</w:t>
      </w:r>
    </w:p>
    <w:p>
      <w:r>
        <w:rPr>
          <w:b/>
        </w:rPr>
        <w:t xml:space="preserve">Quelle: </w:t>
      </w:r>
      <w:r>
        <w:t>https://mcp.opencaselaw.ch/entscheid/bger_2C_956_2020</w:t>
      </w:r>
    </w:p>
    <w:p>
      <w:r>
        <w:t>FR: TF 2C_956/2020 du 3 décembre 2020</w:t>
      </w:r>
    </w:p>
    <w:p>
      <w:r>
        <w:t>IT: TF 2C_956/2020 del 3 dicembre 2020</w:t>
      </w:r>
    </w:p>
    <w:p>
      <w:pPr>
        <w:pStyle w:val="Heading2"/>
      </w:pPr>
      <w:r>
        <w:t>Erwägungen</w:t>
      </w:r>
    </w:p>
    <w:p>
      <w:r>
        <w:rPr>
          <w:b/>
        </w:rPr>
        <w:t>E. 1</w:t>
      </w:r>
    </w:p>
    <w:p>
      <w:r>
        <w:t>Par décision du 14 octobre 2020, la 2e Chambre civile de la Cour suprême du canton de Berne (ci-après: la Cour suprême) a rejeté une requête de remise de frais judiciaires déposée le 25 septembre 2020 par A.________.</w:t>
      </w:r>
    </w:p>
    <w:p>
      <w:r>
        <w:rPr>
          <w:b/>
        </w:rPr>
        <w:t>E. 2</w:t>
      </w:r>
    </w:p>
    <w:p>
      <w:r>
        <w:t>Par courrier du 17 novembre 2020, posté le 18 novembre 2020, A.________ a écrit à la Cour suprême pour recourir contre la décision du 14 octobre 2020. Ce courrier, ainsi que la décision contestée ont été transmis au Tribunal fédéral par l'autorité de dernière instance cantonale comme objet relevant de sa compétence. Dans une lettre du 23 novembre 2020, le greffier présidentiel de la IIe Cour de droit public du Tribunal fédéral a écrit à A.________ pour lui demander s'il désirait effectivement recourir. Le 1er décembre 2020, A.________ a confirmé vouloir recourir.</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 courrier du recourant ne se rapporte en rien à la décision contestée et n'explique donc pas en quoi celle-ci violerait le droit. Le recourant se limite à indiquer être en mauvaise santé et émarger à l'aide sociale. Il affirme ne pas pouvoir payer les frais judiciaires mis à sa charge et demande au Tribunal fédéral d'être indulgent et de le dispenser du paiement de ces frais, ce qui ne saurait être considéré comme étant une motivation suffisante.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