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2C_956/2019 vom 21. November 2019</w:t>
      </w:r>
    </w:p>
    <w:p>
      <w:r>
        <w:t>Bundesgericht, 2019-11-21, DE</w:t>
      </w:r>
    </w:p>
    <w:p>
      <w:r>
        <w:rPr>
          <w:b/>
        </w:rPr>
        <w:t xml:space="preserve">Quelle: </w:t>
      </w:r>
      <w:r>
        <w:t>https://mcp.opencaselaw.ch/entscheid/bger_2C_956_2019</w:t>
      </w:r>
    </w:p>
    <w:p>
      <w:r>
        <w:t>FR: TF 2C_956/2019 du 21 novembre 2019</w:t>
      </w:r>
    </w:p>
    <w:p>
      <w:r>
        <w:t>IT: TF 2C_956/2019 del 21 novembre 2019</w:t>
      </w:r>
    </w:p>
    <w:p>
      <w:pPr>
        <w:pStyle w:val="Heading2"/>
      </w:pPr>
      <w:r>
        <w:t>Erwägungen</w:t>
      </w:r>
    </w:p>
    <w:p>
      <w:r>
        <w:rPr>
          <w:b/>
        </w:rPr>
        <w:t>E. 1</w:t>
      </w:r>
    </w:p>
    <w:p>
      <w:r>
        <w:t>Am 19. April 2018 gelangte die Canada Revenue Agency (CRA) an die Eidgenössische Steuerverwaltung (ESTV) und ersuchte gestützt auf Art. 25 des Abkommens vom 5. Mai 1997 zwischen der Schweiz und Kanada zur Vermeidung der Doppelbesteuerung auf dem Gebiet der Steuern vom Einkommen und Vermögen (DBA CH-CA; SR 0.672.923.21) um Amtshilfe betreffend die A.________ Inc. für den Zeitraum vom 1. Januar 2012 bis 31. Dezember 2014.</w:t>
      </w:r>
    </w:p>
    <w:p>
      <w:r>
        <w:t>Am 13. Juli 2018 teilte die A.________ Inc. der ESTV mit, dass sie beim Federal Court of Canada beantragt habe, das Amtshilfeverfahren einzustellen. Sie ersuche darum, das Verfahren bis zum rechtskräftigen Entscheid des Federal Court zu sistieren.</w:t>
      </w:r>
    </w:p>
    <w:p>
      <w:r>
        <w:t>Die ESTV sistierte das Verfahren nicht, erliess am 20. Dezember 2018 die Schlussverfügung und gewährte Amtshilfe.</w:t>
      </w:r>
    </w:p>
    <w:p>
      <w:r>
        <w:t>Am 29. Oktober 2019 lehnte auch das Bundesverwaltungsgericht auf Beschwerde hin die Sistierung des Verfahrens sowie die Beschwerde gegen die Schlussverfügung der ESTV ab.</w:t>
      </w:r>
    </w:p>
    <w:p>
      <w:r>
        <w:rPr>
          <w:b/>
        </w:rPr>
        <w:t>E. 2</w:t>
      </w:r>
    </w:p>
    <w:p>
      <w:r>
        <w:t>Die A.________ Inc. hat am 14. November 2019 Beschwerde in öffentlich-rechtlichen Angelegenheiten an das Bundesgericht erhoben. Sie beantragt, das Urteil des Bundesverwaltungsgerichts aufzuheben und die Sache zur Neubeurteilung an dieses zurückzuweisen, eventualiter die Schlussverfügung der ESTV aufzuheben und das Amtshilfegesuch abzuweisen. In prozessualer Hinsicht beantragt sie das Verfahren beim Bundesgericht bis zum Erlass eines rechtskräftigen Entscheids in Kanada zu sistieren.</w:t>
      </w:r>
    </w:p>
    <w:p>
      <w:r>
        <w:t>Die Beschwerde an das Bundesgericht ist gegen einen Entscheid auf dem Gebiet der internationalen Amtshilfe in Steuersachen nur zulässig, wenn sich eine Rechtsfrage von grundsätzlicher Bedeutung stellt oder wenn es sich aus anderen Gründen um einen besonders bedeutenden Fall im Sinne von Art. 84 Abs. 2 BGG handelt ( Art. 84a BGG ). Ein besonders bedeutsamer Fall liegt gemäss Art. 84 Abs. 2 BGG insbesondere vor, wenn Gründe für die Annahme bestehen, dass elementare Verfahrensgrundsätze verletzt worden sind oder das Verfahren im Ausland schwere Mängel aufweist. 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Gemäss Art. 42 Abs. 2 BGG ist in der Begründung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w:t>
      </w:r>
    </w:p>
    <w:p>
      <w:r>
        <w:t>Die Beschwerde genügt den Begründungsanforderungen zum vornherein nicht. Es bedarf keiner Entscheidung der Frage, ob das Bundesverwaltungsgericht das Verfahren im Blick auf das kanadische Verfahren, in welchem die Beschwerdeführerin erreichen will, dass die CRA das Amtshilfegesuch zurückzieht, das Amtshilfeverfahren in der Schweiz hätte sistieren können. Es ist nicht ersichtlich, dass durch die Nichtsistierung schweizerisches Recht verletzt sein könnte, geschweige denn tut die Beschwerdeführerin dar, dass sich insoweit eine Rechtsfrage von grundsätzlicher Bedeutung stellt. Sollte die CRA gegen kanadisches Recht verstossen haben, indem sie die Schweiz um Amtshilfe ersucht hat, kann dies im weiteren Verfahren in Kanada Berücksichtigung finden. Im schweizerischen Verfahren könnten höchstens Gründe der Opportunität für eine Verfahrenssistierung sprechen, wovon aber mit Blick auf das Beschleunigungsgebot, dem Amtshilfeverfahren unterliegen, wenn überhaupt, so doch nur höchstens zurückhaltend Gebrauch gemacht werden könnte.</w:t>
      </w:r>
    </w:p>
    <w:p>
      <w:r>
        <w:rPr>
          <w:b/>
        </w:rPr>
        <w:t>E. 3</w:t>
      </w:r>
    </w:p>
    <w:p>
      <w:r>
        <w:t>Auf die Beschwerde ist damit nicht einzutreten.</w:t>
      </w:r>
    </w:p>
    <w:p>
      <w:r>
        <w:t>Das Gesuch um Sistierung des bundesgerichtlichen Verfahrens wird damit gegenstandslos.</w:t>
      </w:r>
    </w:p>
    <w:p>
      <w:r>
        <w:t>Entsprechend dem Verfahrensausgang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