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2C_956/2013 vom 11. April 2014</w:t>
      </w:r>
    </w:p>
    <w:p>
      <w:r>
        <w:t>Bundesgericht, 2014-04-11, FR</w:t>
      </w:r>
    </w:p>
    <w:p>
      <w:r>
        <w:rPr>
          <w:b/>
        </w:rPr>
        <w:t xml:space="preserve">Quelle: </w:t>
      </w:r>
      <w:r>
        <w:t>https://mcp.opencaselaw.ch/entscheid/bger_2C_956_2013</w:t>
      </w:r>
    </w:p>
    <w:p>
      <w:r>
        <w:t>FR: TF 2C_956/2013 du 11 avril 2014</w:t>
      </w:r>
    </w:p>
    <w:p>
      <w:r>
        <w:t>IT: TF 2C_956/2013 del 11 aprile 2014</w:t>
      </w:r>
    </w:p>
    <w:p>
      <w:pPr>
        <w:pStyle w:val="Heading2"/>
      </w:pPr>
      <w:r>
        <w:t>Erwägungen</w:t>
      </w:r>
    </w:p>
    <w:p>
      <w:r>
        <w:rPr>
          <w:b/>
        </w:rPr>
        <w:t>E. 1.1</w:t>
      </w:r>
    </w:p>
    <w:p>
      <w:r>
        <w:t>D'après l' art. 83 let . c ch. 2 et ch. 4 in fine LTF, le recours en matière de droit public est irrecevable contre les décisions en matière de droit des étrangers qui concernent une autorisation à laquelle ni le droit fédéral ni le droit international ne donnent droit ainsi que contre celles qui concernent le renvoi.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w:t>
      </w:r>
    </w:p>
    <w:p>
      <w:r>
        <w:t>En l'occurrence, le recourant se prévaut de manière soutenable des art. 50 al. 1 let. b LEtr et 8 CEDH sous l'angle du droit au respect de sa vie privée. Son recours échappe au motif d'irrecevabilité de l' art. 83 let . c ch. 2 LTF. La voie du recours en matière de droit public est donc ouverte. Elle est en revanche fermée s'agissant de la décision de renvoi.</w:t>
      </w:r>
    </w:p>
    <w:p>
      <w:r>
        <w:rPr>
          <w:b/>
        </w:rPr>
        <w:t>E. 1.2</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w:t>
      </w:r>
    </w:p>
    <w:p>
      <w:r>
        <w:rPr>
          <w:b/>
        </w:rPr>
        <w:t>E. 1.3</w:t>
      </w:r>
    </w:p>
    <w:p>
      <w:r>
        <w:t>Aucun fait nouveau ni preuve nouvelle ne peut être présenté à moins de résulter de la décision de l'autorité précédente ( art. 99 LTF ). Il s'ensuit que le courrier du 16 octobre 2013 annexé au recours ainsi que la demande tendant à procéder à l'audition de l'ex-épouse sont irrecevables.</w:t>
      </w:r>
    </w:p>
    <w:p>
      <w:r>
        <w:rPr>
          <w:b/>
        </w:rPr>
        <w:t>E. 2</w:t>
      </w:r>
    </w:p>
    <w:p>
      <w:r>
        <w:t>Le mémoire de recours comprend une motivation en fait (p. 4 à 8) puis une motivation relative à l'arbitraire dans l'établissement des faits (p. 9 à 20, en particulier p. 11 ch. 4 )</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Comme la notion de " manifestement inexacte " figurant à l' art. 97 al. 1 LTF correspond à celle d'arbitraire au sens de l' art. 9 Cst. ( ATF 137 III 226 consid. 4.2 p. 234), il appartient à la partie recourante de motiver la violation de l'interdiction de l'arbitraire en respectant les exigences de motivation de l' art. 106 al. 2 LTF (cf. consid. 1.2 ci-dessus) également dans ce contexte.</w:t>
      </w:r>
    </w:p>
    <w:p>
      <w:r>
        <w:rPr>
          <w:b/>
        </w:rPr>
        <w:t>E. 2.2</w:t>
      </w:r>
    </w:p>
    <w:p>
      <w:r>
        <w:t>En l'espèce, ni la motivation en fait qui figure dans le mémoire de recours (p. 4 à 8 ) ni le chapitre relatif à l'arbitraire dans l'établissement des faits (p. 9 à 20), qui comprend également des allusions au déni de justice et à la violation du droit d'être entendu n'exposent concrètement et de façon conforme aux exigences de motivation accrues de l' art. 106 al. 2 LTF en quoi les droits fondamentaux du recourant auraient été violés par l'instance précédente ni ne rendent vraisemblable en quoi la correction des vices allégués serait susceptible d'influer sur le sort de la cause, cette dernière condition n'étant du reste pas même évoquée. Les conditions de l' art. 97 al. 1 LTF n'étant pas réunies en l'espèce, il n'est pas possible de retenir un état de fait différent de celui qui figure dans l'arrêt attaqué.</w:t>
      </w:r>
    </w:p>
    <w:p>
      <w:r>
        <w:rPr>
          <w:b/>
        </w:rPr>
        <w:t>E. 3</w:t>
      </w:r>
    </w:p>
    <w:p>
      <w:r>
        <w:t>Le recourant se plaint de la violation de l'art. 59 (</w:t>
      </w:r>
    </w:p>
    <w:p>
      <w:r>
        <w:t>recte 50) LEtr ainsi que des art. 31 et 77 OASA .</w:t>
      </w:r>
    </w:p>
    <w:p>
      <w:r>
        <w:rPr>
          <w:b/>
        </w:rPr>
        <w:t>E. 3.1</w:t>
      </w:r>
    </w:p>
    <w:p>
      <w:r>
        <w:t>L'art. 50 al. 1 let. b LEtr permet au conjoint étranger de demeurer en Suisse après la dissolution de l'union conjugale, lorsque la poursuite de son séjour s'impose pour des raisons personnelles majeures.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137 II 345 consid. 3.2.1 p. 348 s.).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(cf. ATF 138 II 393 consid. 3.1 p. 394 s.).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(cf. ATF 138 II 393 consid. 3 p. 394 ss et les références citées). Les critères énumérés par l' art. 31 al. 1 OASA peuvent également entrer en ligne de compte, même si, considérés individuellement, ils ne suffisent pas à fonder un cas de rigueur ( ATF 137 II 345 consid. 3.2.3 p. 349; THOMAS HUGI YAR, Von Trennungen, Härtefällen und Delikten, Annuaire du droit de la migration 2012/2013, p. 78 s.).</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l'art. 50 al. 1 let. b LEtr ( ATF 138 II 229 consid. 3 p. 232 ss).</w:t>
      </w:r>
    </w:p>
    <w:p>
      <w:r>
        <w:t>Quant à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137 II 345 consid. 3.2.2 p. 349).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 2C_1188/2012 du 17 avril 2013 consid. 4.1).</w:t>
      </w:r>
    </w:p>
    <w:p>
      <w:r>
        <w:rPr>
          <w:b/>
        </w:rPr>
        <w:t>E. 3.2</w:t>
      </w:r>
    </w:p>
    <w:p>
      <w:r>
        <w:t>En l'espèce, l'instance précédente retient que le recourant avait fait mention d'un seul épisode de violence au cours duquel sa femme l'aurait blessé à une dent en lui lançant un cendrier au visage, ce qui était établi par un témoin direct de la scène mais pas par certificat médical attestant de la blessure et de son origine. Elle constate ensuite que, malgré les affirmations du recourant à propos d'interventions policières provoquées par les violences exercées par son ex-femme entre 2005 et 2007, les recherches faites auprès de la police et des archives du Ministère public n'avaient pas permis de retrouver de dossiers de procédures dirigées contre l'ex-épouse pour violences conjugales. Elle constate enfin que ce n'était pas le recourant qui avait mis fin à la vie commune mais bien l'ex-épouse. Au vu des faits retenus par l'arrêt attaqué et en l'absence de preuves, notamment médicales, c'est à bon droit que l'instance précédente a jugé que l'intensité des violences conjugales exercées à l'encontre du recourant n'était pas suffisante pour que la poursuite de son séjour s'impose en application de l'art. 50 al. 1 let. b LEtr.</w:t>
      </w:r>
    </w:p>
    <w:p>
      <w:r>
        <w:rPr>
          <w:b/>
        </w:rPr>
        <w:t>E. 3.3</w:t>
      </w:r>
    </w:p>
    <w:p>
      <w:r>
        <w:t>L'instance précédente a ensuite nié, à bon droit également, que la réintégration du recourant dans son pays d'origine était fortement compromise. Elle a rappelé à cet effet que le recourant avait passé les quarante-deux premières années de sa vie dans son pays d'origine et qu'il y était retourné régulièrement entre 2008 et 2012 pour visiter trois de ses enfants qui y vivent encore. Le recourant objecte en vain qu'il est bien intégré en Suisse (mémoire de recours, p. 15 et 16), qu'il n'a jamais fait l'objet d'acte de poursuite ni de condamnation pénale et qu'il n'a jamais été aidé par l'assistance publique. En effet, la question de l'intégration du recourant en Suisse, sur laquelle l'instance précédente s'est penchée inutilement en l'espèce, n'est pas déterminante au regard des conditions de l'art. 50 al. 1 let. b LEtr. Cette disposition ne s'attache qu'à celle - qui doit être fortement compromise - qui aura lieu dans le pays d'origine. Le recourant fait aussi valoir en vain qu'il ne pourra pas obtenir de travail dans son domaine d'activité au Cameroun, puisque la réintégration dans le pays d'origine n'est pas déjà fortement compromise parce que l'étranger n'y retrouvera pas de travail dans le domaine d'activité qui était le sien en Suisse.</w:t>
      </w:r>
    </w:p>
    <w:p>
      <w:r>
        <w:t>Enfin, c'est aussi en vain que le recourant objecte, en citant les avertissements du 10 octobre 2013 du Département des affaires étrangères relatifs au Cameroun, que sa réintégration dans le pays d'origine est fortement compromise et son renvoi impossible et illicite (cf. sur la recevabilité de ce grief: ATF 137 II 345 ) en raison de la situation de la région notamment, en raison du risque d'attentats et d'enlèvements par des groupes terroristes et en raison des conditions de vie de la population locale qui pourraient donner lieu à de violents heurts avec les forces de l'ordre (cf. mémoire de recours p. 19 et 26). Les avertissements du Département des affaires étrangères s'adressent aux ressortissants helvétiques en voyage comme l'indique le titre du document " Conseil aux voyageurs " et ne fournissent que de manière abstraite des renseignements sur les risques que peuvent encourir les ressortissants de la région concernée. En cela, la situation décrite par de tels conseils ne permet pas encore de conclure à une réintégration fortement compromise du recourant dans son pays d'origine.</w:t>
      </w:r>
    </w:p>
    <w:p>
      <w:r>
        <w:rPr>
          <w:b/>
        </w:rPr>
        <w:t>E. 3.4</w:t>
      </w:r>
    </w:p>
    <w:p>
      <w:r>
        <w:t>En jugeant qu'il n'y avait aucune raison personnelle majeure qui imposait la poursuite du séjour du recourant en Suisse, l'instance précédente a correctement appliqué le droit fédéral. Le recours est rejeté sur ce point.</w:t>
      </w:r>
    </w:p>
    <w:p>
      <w:r>
        <w:rPr>
          <w:b/>
        </w:rPr>
        <w:t>E. 4</w:t>
      </w:r>
    </w:p>
    <w:p>
      <w:r>
        <w:t>Le recourant se prévaut de sa relation avec ses enfants de nationalité suisse.</w:t>
      </w:r>
    </w:p>
    <w:p>
      <w:r>
        <w:rPr>
          <w:b/>
        </w:rPr>
        <w:t>E. 4.1</w:t>
      </w:r>
    </w:p>
    <w:p>
      <w:r>
        <w:t>Selon la jurisprudence, un étranger peut se prévaloir de la protection de la vie familiale découlant de l' art. 8 CEDH (et de l' art. 13 Cst. ) pour s'opposer à une éventuelle séparation de sa famille, à condition qu'il entretienne une relation étroite et effective avec une personne de sa famille ayant le droit de résider durablement en Suisse (cf. ATF 137 I 284 consid. 1.3 p. 287; 136 II 177 consid. 1.2 p. 180; arrêt 2C_639/2012 du 13 février 2013 consid. 1.2.2). Les relations visées par l' art. 8 CEDH sont avant tout celles qui existent entre époux, ainsi que les relations entre parents et enfants mineurs vivant en ménage commun (cf. ATF 135 I 143 consid. 1.3.2 p. 146; 127 II 60 consid. 1d/aa p. 65; arrêt 2C_40/2012 du 15 octobre 2012 consid. 8). Un étranger majeur ne peut se prévaloir de cette disposition que s'il se trouve dans un état de dépendance particulier par rapport à des membres de sa famille résidant en Suisse en raison, par exemple, d'un handicap (physique ou mental) ou d'une maladie grave (cf. ATF 129 II 11 consid. 2 p. 13 s.; 120 Ib 257 consid. 1d p. 261; arrêt 2C_432/2011 du 13 octobre 2011 consid. 3.2). On peut en effet généralement présumer qu'à partir de dix-huit ans, un jeune adulte est en mesure de vivre de manière indépendante, sauf circonstances particulières telles qu'un handicap physique ou mental, ou une maladie grave (cf. ATF 137 I 154 consid. 3.4.2 p. 159; 120 Ib 257 consid. 1e p. 261 s.; arrêt 2C_508/2009 du 20 mai 2010 consid. 2.2).</w:t>
      </w:r>
    </w:p>
    <w:p>
      <w:r>
        <w:rPr>
          <w:b/>
        </w:rPr>
        <w:t>E. 4.2</w:t>
      </w:r>
    </w:p>
    <w:p>
      <w:r>
        <w:t>C'est à bon droit que l'instance précédente a constaté que les enfants du recourant sont majeurs, l'étaient déjà en mars 2009 lorsque le Service des migrations a avisé le recourant de son intention de ne pas renouveler son permis de séjour et qu'hormis de bonnes relations affectives et la prise en charge de certains frais d'études par le recourant, ce dernier ne peut se prévaloir d'aucune relation de dépendance particulière avec ses enfants au sens de la jurisprudence qui justifierait la prolongation de son permis de séjour en Suisse fondée sur les garanties de l' art. 8 CEDH .</w:t>
      </w:r>
    </w:p>
    <w:p>
      <w:r>
        <w:rPr>
          <w:b/>
        </w:rPr>
        <w:t>E. 5</w:t>
      </w:r>
    </w:p>
    <w:p>
      <w:r>
        <w:t>Les considérants qui précèdent conduisent au rejet du recours dans la mesure où il est recevable.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