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2C_956/2011 vom 2. April 2012</w:t>
      </w:r>
    </w:p>
    <w:p>
      <w:r>
        <w:t>Bundesgericht, 2012-04-02, DE</w:t>
      </w:r>
    </w:p>
    <w:p>
      <w:r>
        <w:rPr>
          <w:b/>
        </w:rPr>
        <w:t xml:space="preserve">Quelle: </w:t>
      </w:r>
      <w:r>
        <w:t>https://mcp.opencaselaw.ch/entscheid/bger_2C_956_2011</w:t>
      </w:r>
    </w:p>
    <w:p>
      <w:r>
        <w:t>FR: TF 2C_956/2011 du 2 avril 2012</w:t>
      </w:r>
    </w:p>
    <w:p>
      <w:r>
        <w:t>IT: TF 2C_956/2011 del 2 aprile 2012</w:t>
      </w:r>
    </w:p>
    <w:p>
      <w:pPr>
        <w:pStyle w:val="Heading2"/>
      </w:pPr>
      <w:r>
        <w:t>Erwägungen</w:t>
      </w:r>
    </w:p>
    <w:p>
      <w:r>
        <w:rPr>
          <w:b/>
        </w:rPr>
        <w:t>E. 1.1</w:t>
      </w:r>
    </w:p>
    <w:p>
      <w:r>
        <w:t>Der Antrag der Beschwerdeführerin auf Aufhebung des Urteils der Vorinstanz umfasst dieses lediglich in dem Umfang, als es die A.________ AG bzw. deren Schadenersatzbegehren vom 20. Februar 2010 betrifft.</w:t>
      </w:r>
    </w:p>
    <w:p>
      <w:r>
        <w:rPr>
          <w:b/>
        </w:rPr>
        <w:t>E. 1.2</w:t>
      </w:r>
    </w:p>
    <w:p>
      <w:r>
        <w:t>Der angefochtene Entscheid der Vorinstanz auf dem Gebiet der Staatshaftung kann mit Beschwerde in öffentlich-rechtlichen Angelegenheiten beim Bundesgericht angefochten werden, da der Streitwert mehr als Fr. 30'000.-- beträgt ( Art. 10 Abs. 1 VG in Verbindung mit Art. 85 Abs. 1 lit. a und Art. 86 Abs. 1 lit. a BGG ). Die Beschwerdeführerin hat ein schutzwürdiges Interesse an der Aufhebung des angefochtenen Entscheides ( Art. 89 Abs. 1 BGG ). Auf die frist- und formgerecht eingereichte Beschwerde ist einzutreten.</w:t>
      </w:r>
    </w:p>
    <w:p>
      <w:r>
        <w:rPr>
          <w:b/>
        </w:rPr>
        <w:t>E. 2.1</w:t>
      </w:r>
    </w:p>
    <w:p>
      <w:r>
        <w:t>Die Beschwerdeführerin rügt eine offensichtlich unrichtige Sachverhaltsfeststellung. Diese erblickt sie darin, dass die Vorinstanz (in Erwägung 3.1) übersehen habe, dass ihr das Stockgeld herauszugeben sei.</w:t>
      </w:r>
    </w:p>
    <w:p>
      <w:r>
        <w:rPr>
          <w:b/>
        </w:rPr>
        <w:t>E. 2.2</w:t>
      </w:r>
    </w:p>
    <w:p>
      <w:r>
        <w:t>Der Einwand ist unbegründet. Denn die Vorinstanz nimmt einzig Bezug auf die eingezogenen Vermögenswerte (Spielautomaten und Barwerte). Zu diesen zählt indessen das Stockgeld nicht, denn dieses wurde nicht eingezogen, sondern ist - unter dem Vorbehalt der Verrechnung mit der Ersatzforderung - der Berechtigten A.________ AG nach Eintritt der Rechtskraft herauszugeben. Das Urteil des Obergerichts vom 21. Oktober 2005 ist insoweit in Rechtskraft erwachsen, denn dieses ist mit dem Urteil des Bundesgerichts vom 14. Dezember 2006 nur "im angefochtenen Umfang" - d.h. soweit es B.________ betraf - aufgehoben worden. Gleichzeitig wurde auf die Nichtigkeitsbeschwerde der C.________ GmbH bzw. von D._________ als deren Gesellschafter nicht eingetreten; auf deren Rechtsmittel war das Obergericht mangels Beschwer nicht eingetreten, da es diese nicht als Eigentümer der Geräte und Vermögenswerte erachtete.</w:t>
      </w:r>
    </w:p>
    <w:p>
      <w:r>
        <w:t>Auf Grund des fehlenden Bezugs zur Hauptsache kann auf den Eventualantrag auf Herausgabe des Stockgeldes (Anträge Ziff. 4) nicht eingetreten werden.</w:t>
      </w:r>
    </w:p>
    <w:p>
      <w:r>
        <w:rPr>
          <w:b/>
        </w:rPr>
        <w:t>E. 3.1</w:t>
      </w:r>
    </w:p>
    <w:p>
      <w:r>
        <w:t>Die Vorinstanz hat offen gelassen, ob auf das Schadenersatzbegehren der Beschwerdeführerin Art. 99 Abs. 2 in Verbindung mit Art. 100 Abs. 2 VStrR oder das Bundesgesetz vom 14. März 1958 über die Verantwortlichkeit des Bundes sowie seiner Behördemitglieder und Beamten (Verantwortlichkeitsgesetz, VG; SR 170.32) anwendbar sei, da der Anspruch in jedem Fall verwirkt sei.</w:t>
      </w:r>
    </w:p>
    <w:p>
      <w:r>
        <w:rPr>
          <w:b/>
        </w:rPr>
        <w:t>E. 3.2</w:t>
      </w:r>
    </w:p>
    <w:p>
      <w:r>
        <w:t>Die Vorinstanz hat zunächst zutreffend erkannt, dass das Urteil des Obergerichts des Kantons Zürich betreffend die Einziehung mit der Abweisung der Nichtigkeitsbeschwerde der C.________ GmbH in Rechtskraft erwachsen sei und somit gemäss Art. 12 VG nicht mehr durch ein später angehobenes Schadenersatz- oder Verantwortlichkeitsverfahren auf seine Rechtmässigkeit überprüft werden kann (vgl. BGE 126 I 144 E. 2a).</w:t>
      </w:r>
    </w:p>
    <w:p>
      <w:r>
        <w:rPr>
          <w:b/>
        </w:rPr>
        <w:t>E. 3.3</w:t>
      </w:r>
    </w:p>
    <w:p>
      <w:r>
        <w:t>Der Vorinstanz ist auch darin zu folgen, als sie zum Schluss gelangt ist, dass die einjährige Frist zur Geltendmachung eines Schadens ( Art. 100 Abs. 2 VStrR ) spätestens mit Eintritt der Rechtskraft des Einziehungsentscheids vom 21. Oktober 2005 am 29. März 2006 (Datum des Nichteintretensentscheides des Bundesgerichts gegenüber der C.________ GmbH) zu laufen begonnen habe und damit im Zeitpunkt der Gesuchseinreichung im Februar 2010 ohnehin bereits verwirkt gewesen sei. Es kann auf ihre Ausführungen verwiesen werden (angefochtenes Urteil E. 3.2).</w:t>
      </w:r>
    </w:p>
    <w:p>
      <w:r>
        <w:rPr>
          <w:b/>
        </w:rPr>
        <w:t>E. 3.4</w:t>
      </w:r>
    </w:p>
    <w:p>
      <w:r>
        <w:t>Ebenso zutreffend hat die Vorinstanz erkannt, auch die Verwirkungsfrist nach Art. 20 VG habe betreffend die eingezogenen Gegenstände und Barwerte somit spätestens am 29. März 2006 zu laufen begonnen und sei daher im Moment der Gesuchseinreichung bereits verwirkt gewesen (angefochtenes Urteil E. 3.3). Es ist hier beizufügen, dass der Geschädigte lediglich Kenntnis der wichtigen Elemente seines Schadens haben muss, die es ihm erlauben, dessen Grössenordnung zu bestimmen und sein Staatshaftungsbegehren in den wesentlichen Zügen zu begründen (vgl. Urteil 2C_640/2011 vom 1. Februar 2012 E. 2).</w:t>
      </w:r>
    </w:p>
    <w:p>
      <w:r>
        <w:t>Die Vorinstanz verweist in diesem Zusammenhang zu Recht darauf, dass die Einziehung im Rahmen des Verwaltungsstrafverfahrens gegenüber der A.________ AG als Verfügungsadressatin erfolgt und ihr mittels Publikation im Amtsblatt des Kantons Zürich eröffnet worden sei. Sie hätte folglich in eigenem Namen ein Rechtsmittel dagegen ergreifen können und müssen. Dass sie die dazu erforderliche Wiedereintragung ins Handelsregister und die Bezeichnung einer zeichnungsberechtigten Person versäumt hat, hat sie sich selber zuzuschreiben. Die Vorinstanz brauchte daher auch die Frage der Nichtigkeit der Einziehung nicht zu prüfen. Auch das noch laufende Verwaltungsstrafverfahren gegen B.________ stand der rechtzeitigen Geltendmachung der in Frage stehenden Ansprüche nicht entgegen; falls dies erforderlich gewesen wäre, hätte das Verfahren der Beschwerdeführerin ohne weiteres sistiert werden können.</w:t>
      </w:r>
    </w:p>
    <w:p>
      <w:r>
        <w:rPr>
          <w:b/>
        </w:rPr>
        <w:t>E. 3.5</w:t>
      </w:r>
    </w:p>
    <w:p>
      <w:r>
        <w:t>Auch was die nicht direkt aus der Einziehung resultierenden, von der Beschwerdeführerin vor der Vorinstanz geltend gemachten Schadensposten (namentlich "Ausfall des Geschäftserlöses", Umbaukosten, Restrukturierung, Verkaufsgeschäft Y.________, Spielbetrieb X.________) anbelangt, ist der Vorinstanz darin zu folgen, dass diese behaupteten Schäden bereits mit der Löschung der A.________ AG im Handelsregister am 10. Juni 2003, spätestens aber mit Eintritt der Rechtskraft der Einziehung der Spielautomaten und Barbeträge am 29. März 2006 bestimmbar gewesen waren.</w:t>
      </w:r>
    </w:p>
    <w:p>
      <w:r>
        <w:rPr>
          <w:b/>
        </w:rPr>
        <w:t>E. 3.6</w:t>
      </w:r>
    </w:p>
    <w:p>
      <w:r>
        <w:t>Die Vorinstanz durfte daher ohne Verletzung von Bundesrecht zum Schluss gelangen, die einjährige Frist sei mit Einreichung des Schadenersatzbegehrens am 20. Februar 2010 versäumt worden und allfällige Ansprüche seien demzufolge verwirkt.</w:t>
      </w:r>
    </w:p>
    <w:p>
      <w:r>
        <w:rPr>
          <w:b/>
        </w:rPr>
        <w:t>E. 4</w:t>
      </w:r>
    </w:p>
    <w:p>
      <w:r>
        <w:t>In Bezug auf die Verfahrenskosten vor dem Finanzdepartement verweist die Beschwerdeführerin unzulässigerweise lediglich auf ihre Ausführungen vor der Vorinstanz. Was sie dazu in der vorliegenden Beschwerde ausführt, lässt die von der Vorinstanz begründete und geschützte Kostenverteilung nicht als willkürlich erscheinen.</w:t>
      </w:r>
    </w:p>
    <w:p>
      <w:r>
        <w:rPr>
          <w:b/>
        </w:rPr>
        <w:t>E. 5</w:t>
      </w:r>
    </w:p>
    <w:p>
      <w:r>
        <w:t>Die Beschwerde ist aus diesen Gründen abzuweisen, soweit darauf einzutreten ist. Da sich die Rechtsbegehren als von vornherein aussichtslos erwiesen, kann der Beschwerdeführerin die unentgeltliche Rechtspflege und Verbeiständung nicht gewährt werden ( Art. 64 Abs. 1 BGG ). Entsprechend dem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