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2C_94/2019 vom 1. Oktober 2019</w:t>
      </w:r>
    </w:p>
    <w:p>
      <w:r>
        <w:t>Bundesgericht, 2019-10-01, DE</w:t>
      </w:r>
    </w:p>
    <w:p>
      <w:r>
        <w:rPr>
          <w:b/>
        </w:rPr>
        <w:t xml:space="preserve">Quelle: </w:t>
      </w:r>
      <w:r>
        <w:t>https://mcp.opencaselaw.ch/entscheid/bger_2C_94_2019</w:t>
      </w:r>
    </w:p>
    <w:p>
      <w:r>
        <w:t>FR: TF 2C_94/2019 du 1 octobre 2019</w:t>
      </w:r>
    </w:p>
    <w:p>
      <w:r>
        <w:t>IT: TF 2C_94/2019 del 1 ottobre 2019</w:t>
      </w:r>
    </w:p>
    <w:p>
      <w:pPr>
        <w:pStyle w:val="Heading2"/>
      </w:pPr>
      <w:r>
        <w:t>Erwägungen</w:t>
      </w:r>
    </w:p>
    <w:p>
      <w:r>
        <w:rPr>
          <w:b/>
        </w:rPr>
        <w:t>E. 3</w:t>
      </w:r>
    </w:p>
    <w:p>
      <w:r>
        <w:t>Wie im Folgenden aufgezeigt wird, vermögen die weiteren Vorbringen in der Beschwerde nichts daran zu ändern, dass die Vorinstanz vorliegend zu Recht gestützt auf § 16 Abs. 3 lit. a SPFG (und § 26 lit. a TO UZH) die Solidarhaftung des Beschwerdeführers bejaht hat.</w:t>
      </w:r>
    </w:p>
    <w:p>
      <w:r>
        <w:rPr>
          <w:b/>
        </w:rPr>
        <w:t>E. 3.1.1</w:t>
      </w:r>
    </w:p>
    <w:p>
      <w:r>
        <w:t>Der Beschwerdeführer stellt sich auf den Standpunkt, es sei ein unzulässiger Eingriff in die Eigentumsgarantie, wenn er trotz der faktischen Trennung der Ehe für Spitaltaxen für eine Behandlung seiner (früheren) Ehefrau für haftbar erklärt werde. Dabei falle insbesondere ins Gewicht, dass der Forderungsbetrag von rund Fr. 19'000.-- über vier Monatslöhne des Beschwerdeführers ausmache. Zwar spreche nichts gegen eine solidarische Haftung, solange zwischen den Ehegatten eine Schicksalsgemeinschaft bestehe. Sei eine Ehe aber (faktisch) aufgelöst, rechtfertige es das rein fiskalische Interesse des Staates am Eintreiben der Schuld nicht, den Ehegatten des Patienten als solidarisch Haftenden ins Recht zu fassen. Der angefochtene Entscheid verstosse deshalb gegen das Verhältnismässigkeitsprinzip.</w:t>
      </w:r>
    </w:p>
    <w:p>
      <w:r>
        <w:rPr>
          <w:b/>
        </w:rPr>
        <w:t>E. 3.1.2</w:t>
      </w:r>
    </w:p>
    <w:p>
      <w:r>
        <w:t>Die Eigentumsgarantie nach Art. 26 Abs. 1 BV bezweckt in ihrer Funktion als Institutsgarantie den Schutz der Eigentumsordnung in ihren Grundzügen ( BGE 105 Ia 134 E. 3a S. 140). Der absolut geschützte Kernbereich der Garantie umfasst die Wahrung des Vermögens in seiner Substanz und die Erhaltung der Möglichkeit der Neubildung von Vermögen ( BGE 128 II 112 E. 10b/bb S. 126).</w:t>
      </w:r>
    </w:p>
    <w:p>
      <w:r>
        <w:t>Die Institutsgarantie ist vorliegend nicht tangiert, kann doch trotz der Höhe der vorliegenden Abgabe bzw. Gebühr unter Berücksichtigung ihres einmaligen Charakters von einer konfiskatorischen Wirkung im Sinne der Rechtsprechung (vgl. BGE 106 Ia 342 E. 6a S. 348 f.; 105 Ia 134 E. 3a S. 140 f.; Urteil 2P.139/2004 vom 30. November 2004 E. 4) nicht die Rede sein.</w:t>
      </w:r>
    </w:p>
    <w:p>
      <w:r>
        <w:rPr>
          <w:b/>
        </w:rPr>
        <w:t>E. 3.1.3</w:t>
      </w:r>
    </w:p>
    <w:p>
      <w:r>
        <w:t>Die Eigentumsgarantie gemäss Art. 26 BV schützt als Bestandesgarantie konkrete Vermögenswerte des Einzelnen vor staatlichen Eingriffen. Nicht in den Schutzbereich der Eigentumsgarantie fällt indes das Vermögen an sich (vgl. BGE 132 I 201 E. 7.1 S. 205; Urteil 2C_123/2016 vom 21. November 2017 E. 5.2.4). Soweit der Beschwerdeführer eine Verletzung der Bestandesgarantie rügen wollte, stösst er somit ins Leere.</w:t>
      </w:r>
    </w:p>
    <w:p>
      <w:r>
        <w:rPr>
          <w:b/>
        </w:rPr>
        <w:t>E. 3.1.4</w:t>
      </w:r>
    </w:p>
    <w:p>
      <w:r>
        <w:t>Das Verhältnismässigkeitsprinzip von Art. 5 Abs. 2 BV kann zwar im Rahmen der Beschwerde in öffentlich-rechtlichen Angelegenheiten direkt und unabhängig von einem Grundrecht angerufen werden. Indessen prüft das Bundesgericht dessen Wahrung bei der Anwendung von kantonalem Recht unter dem Blickwinkel des Willkürverbots, soweit es nicht um die Verletzung spezieller Grundrechte geht (vgl. BGE 141 I 1 E. 5.3.2 S. 7 f.; Urteile 2C_682/2018 / 2C_684/2018 / 2C_685/2018 vom 14. Mai 2019 E. 7.3; 2C_837/2018 vom 15. Februar 2019 E. 4).</w:t>
      </w:r>
    </w:p>
    <w:p>
      <w:r>
        <w:t>Zu prüfen bleibt daher, ob sich die vorliegende Anwendung kantonalen Rechts willkürfrei mit dem Verhältnismässigkeitsprinzip von Art. 5 Abs. 2 BV vereinbaren lässt.</w:t>
      </w:r>
    </w:p>
    <w:p>
      <w:r>
        <w:t>Während einer rechtlich ungetrennten Ehe erscheint es jedenfalls unter Willküraspekten als gerechtfertigt, bei offenen Spitaltaxenforderungen eines Patienten dessen Ehegatten als Haftungssubjekt heranzuziehen. Denn damit wird, wie erwähnt, die Arbeit der für den Bezug der Spitaltaxen zuständigen Stelle des Universitätsspitals vereinfacht, da sie sich einfach an einen der beiden Ehegatten halten kann (vgl. E. 2.4.2). Bei einer auf Willkür beschränkten Prüfung erscheint die fragliche Haftung dem betroffenen Ehegatten zumutbar.</w:t>
      </w:r>
    </w:p>
    <w:p>
      <w:r>
        <w:t>Soweit hier zu prüfen, ist das Verhältnismässigkeitsprinzip bei der Anwendung des kantonalen Rechts vorliegend auch insoweit gewahrt, als die Vorinstanz davon ausgeht, dass die einmal begründete solidarische Haftung des Ehegatten für noch offene Spitaltaxenschulden durch die spätere rechtliche Trennung nicht entfällt. Denn solange die Ehe noch nicht rechtlich getrennt ist, obliegt es beiden Ehegatten gemeinsam, den Eintritt der Haftung abzuwenden oder die Folgen einer allfälligen Haftung des Ehepartners des Patienten zu regeln. Der Beschwerdeführer muss sich daher das Verhalten seiner Ehefrau anrechnen lassen und kann sich nicht darauf berufen, er habe gar keine Möglichkeit gehabt, rechtzeitig von der Spitalbehandlung Kenntnis zu erhalten (vgl. dazu Beschwerde, S. 6). Unter den gegebenen Umständen ist es unter dem Blickwinkel des Willkürverbotes verhältnismässig, ihn als Haftungssubjekt zu behandeln.</w:t>
      </w:r>
    </w:p>
    <w:p>
      <w:r>
        <w:rPr>
          <w:b/>
        </w:rPr>
        <w:t>E. 3.2.1</w:t>
      </w:r>
    </w:p>
    <w:p>
      <w:r>
        <w:t>Nach Auffassung des Beschwerdeführers würde es gegen das Verbot des überspitzen Formalismus verstossen, wenn ein Eheschutzurteil oder eine Ehetrennung im Sinne von Art. 117 ZGB verlangt würde, damit getrennte Ehegatten nicht mehr solidarisch füreinander haften.</w:t>
      </w:r>
    </w:p>
    <w:p>
      <w:r>
        <w:rPr>
          <w:b/>
        </w:rPr>
        <w:t>E. 3.2.2</w:t>
      </w:r>
    </w:p>
    <w:p>
      <w:r>
        <w:t>Art. 29 Abs. 1 BV verbietet überspitzten Formalismus. Beim Verbot des überspitzten Formalismus handelt es sich um eine besondere Form der Rechtsverweigerung. Überspitzter Formalismus liegt vor, wenn für ein Verfahren rigorose Formvorschriften aufgestellt werden, ohne dass die Strenge sachlich gerechtfertigt wäre, oder wenn die Behörde formelle Vorschriften mit übertriebener Schärfe handhabt ( BGE 120 V 413 E. 4b S. 417; Urteil 6B_668/2018 vom 1. November 2018 E. 3).</w:t>
      </w:r>
    </w:p>
    <w:p>
      <w:r>
        <w:t>Das Tatbestandsmerkmal einer rechtlich ungetrennten Ehe in § 16 Abs. 3 lit. a SPFG (und § 26 lit. a TO USZ) bildet eine materiell-rechtliche Voraussetzung der Solidarhaftung eines Ehegatten für Spitaltaxen, die der andere Ehegatte als Patient des Universitätsspitals Zürich schuldet. Da damit keine Formvorschrift in Frage steht, greift der Beschwerdeführer mit seiner Berufung auf das Verbot des überspitzten Formalismus ins Leere.</w:t>
      </w:r>
    </w:p>
    <w:p>
      <w:r>
        <w:rPr>
          <w:b/>
        </w:rPr>
        <w:t>E. 3.3</w:t>
      </w:r>
    </w:p>
    <w:p>
      <w:r>
        <w:t>Der Beschwerdeführer weist zutreffend darauf hin, dass aus dem Zivilrecht entstammende Begriffe im öffentlichen Recht nicht zwingend gleich auszulegen sind wie im Zivilrecht (vgl. BGE 89 I 542 E. 4 S. 542). Erst durch Auslegung der verwaltungsrechtlichen Norm ergibt sich, ob die zivilrechtskonforme Anwendung der ratio legis entspricht (Max Imboden/René A. Rhinow, Schweizerische Verwaltungsrechtsprechung, 6. Aufl. 1986, Nr. 25 B I).</w:t>
      </w:r>
    </w:p>
    <w:p>
      <w:r>
        <w:t>Die Vorinstanz hat die hier massgebende Gesetzesbestimmung von § 16 Abs. 3 lit. a SPFG vorliegend - wie ausgeführt - namentlich unter Berücksichtigung des Wortlautes und des historischen Auslegungselements willkürfrei dahingehend ausgelegt, dass diese Bestimmung an den Bestand einer rechtlich ungetrennten Ehe anknüpft, also eine bloss faktische Trennung oder die Aufhebung der Lebensgemeinschaft der Eheleute die solidarische Haftung des Gatten des behandelten Partners nicht zu beseitigen vermag. Aus diesem Grund nicht stichhaltig ist das Vorbringen des Beschwerdeführers, die Vorinstanz habe zu Unrecht den massgebenden öffentlich-rechtlichen Begriff der rechtlich ungetrennten Ehe ohne Weiteres entsprechend der zivilrechtlichen Terminologie interpretiert und damit die rechtliche Trennung, welche eine Solidarhaftung für die Spitaltaxen ausschliesst, ohne Auslegung der verwaltungsrechtlichen Norm mit der zivilrechtlichen Ehetrennung im Sinne von Art. 117 ZBG gleichgesetzt.</w:t>
      </w:r>
    </w:p>
    <w:p>
      <w:r>
        <w:rPr>
          <w:b/>
        </w:rPr>
        <w:t>E. 3.4.1</w:t>
      </w:r>
    </w:p>
    <w:p>
      <w:r>
        <w:t>Der Beschwerdeführer macht sodann eine Verletzung des Gleichbehandlungsgebotes von Art. 8 Abs. 1 BV geltend. Er erklärt dazu, es bestehe kein Grund, dass im Falle von Behandlungen des Universitätsspitals Zürich eine Solidarhaftung des Ehegatten bei rechtlich ungetrennter, aber faktisch getrennter Ehe bestehe und demgegenüber bloss faktisch, nicht aber rechtlich getrennt lebende Ehegatten bei anderen kantonalen Spitälern nach § 26 lit. a Taxordnung keine Solidarhaftung zu gewärtigen hätten.</w:t>
      </w:r>
    </w:p>
    <w:p>
      <w:r>
        <w:rPr>
          <w:b/>
        </w:rPr>
        <w:t>E. 3.4.2</w:t>
      </w:r>
    </w:p>
    <w:p>
      <w:r>
        <w:t>Das verfassungsmässige Gebot der rechtsgleichen Behandlung ( Art. 8 Abs. 1 BV ) ist verletzt, wenn Gleiches nicht nach Massgabe seiner Gleichheit gleich oder Ungleiches nicht nach Massgabe seiner Ungleichheit ungleich behandelt wird. Dies ist insbesondere der Fall, wenn hinsichtlich einer wesentlichen Tatsache rechtliche Unterscheidungen getroffen werden, für die ein vernünftiger Grund in den zu regelnden Verhältnissen nicht ersichtlich ist, oder wenn Unterscheidungen unterlassen werden, die aufgrund der Verhältnisse hätten getroffen werden müssen (statt vieler: BGE 141 I 153 E. 5.1 S. 157; 136 V 231 E. 6.1 S. 237 ; 125 I 173 E. 6b S. 178). Das Gleichbehandlungsgebot ist sowohl in der Rechtssetzung als auch in der Rechtsanwendung zu berücksichtigen (vgl. HÄFELIN/HALLER/KELLER/THURNHEER, Schweizerisches Bundesstaatsrecht, 9. Aufl. 2016, Rz. 750 ff. und 765 ff.).</w:t>
      </w:r>
    </w:p>
    <w:p>
      <w:r>
        <w:rPr>
          <w:b/>
        </w:rPr>
        <w:t>E. 3.4.3</w:t>
      </w:r>
    </w:p>
    <w:p>
      <w:r>
        <w:t>Eine unterschiedliche Behandlung der Ehegatten von Patienten in Bezug auf die Solidarhaftung für Spitaltaxen ergibt sich hier nach den im vorliegend massgebenden Zeitraum einschlägigen kantonalen Regelungen nur im Verhältnis zwischen Ehegatten von Patienten, welche sich einer Behandlung am Universitätsspital Zürich oder an einem allfälligen anderen kantonalen Spital mit eigener Rechtspersönlichkeit unterziehen, und Ehegatten von Patienten, welche sich von einem kantonalen Spital ohne eigene Rechtspersönlichkeit behandeln lassen: Während die erstere Gruppe von Ehegatten der Solidarhaftung durch eine bloss faktische Trennung nicht entgeht, verhält es sich bei der zweiten Gruppen von Ehegatten nach der Kantonalzürcher Regelung anders (vgl. E. 2.2 hiervor).</w:t>
      </w:r>
    </w:p>
    <w:p>
      <w:r>
        <w:t>Aufgrund der Vorbringen des Beschwerdeführers stellt sich die Frage, ob es sich bei der Benutzung eines als selbständige öffentlich-rechtliche Anstalt ausgestalteten Spitals zum einen und der Benutzung eines kantonalen Spitals ohne eigene Rechtspersönlichkeit zum anderen in den rechtswesentlichen Punkten um vergleichbare Sachverhalte handelt, welche hinsichtlich der Solidarhaftung der Ehegatten von Patienten nach Art. 8 Abs. 1 BV gleich zu behandeln sind. Aus Sicht der betroffenen Patienten und ihrer Ehegatten mag die Organisations-form des in Anspruch genommenen kantonalen Spitals eine untergeordnete Rolle spielen. Indessen erscheint es nicht als ausgeschlossen, dass die rechtliche Verselbständigung eines Spitals Besonderheiten für den Finanzhaushalt der Einrichtung mit sich bringt, welche eine Sonderordnung in Bezug auf die Haftung für Spitaltaxen erfordern. Entsprechende Besonderheiten könnten unter Umständen auch den Gesetzgeber dazu veranlasst haben, mit Einräumung der Verordnungsbefugnis in § 16 Abs. 4 SPFG die prinzipielle Möglichkeit einer abweichenden Ordnung für kantonale Spitäler ohne eigene Rechtspersönlichkeit vorzusehen.</w:t>
      </w:r>
    </w:p>
    <w:p>
      <w:r>
        <w:t>Die aufgeworfene Frage muss aber im vorliegenden Fall aus den nachfolgend genannten Gründen nicht abschliessend geklärt werden.</w:t>
      </w:r>
    </w:p>
    <w:p>
      <w:r>
        <w:rPr>
          <w:b/>
        </w:rPr>
        <w:t>E. 3.4.4</w:t>
      </w:r>
    </w:p>
    <w:p>
      <w:r>
        <w:t>Die vom Beschwerdeführer geltend gemachte Ungleichbehandlung ergibt sich auf Erlassstufe daraus, dass die lediglich eine Verordnung bildende Taxordnung für die kantonalen Spitäler ohne eigene Rechtspersönlichkeit in Bezug auf die Solidarhaftung eine vom später erlassenen Gesetz (bzw. § 16 Abs. 3 lit. a SPFG) abweichende Regelung vorsieht. Gäbe es keinen sachlichen Grund, welcher diese Ungleichbehandlung rechtfertigen würde, wäre es Sache des Regierungsrates des Kantons, die Regelung der Taxordnung im Rahmen der ihm mit § 16 Abs. 4 SPFG eingeräumten Verordnungskompetenz in verfassungskonformer Weise anzupassen bzw. die verfassungswidrige Ungleichbehandlung durch eine Angleichung der Taxordnung an die Regelung von § 16 Abs. 3 lit. a SPFG zu beseitigen. Hingegen liesse sich selbst bei Annahme einer sachlich nicht zu rechtfertigenden Ungleichbehandlung im Rahmen der Rechtsetzung nicht ableiten, dass die vorliegend massgebende Gesetzesbestimmung (§ 16 Abs. 3 lit. a SPFG) nicht anzuwenden wäre.</w:t>
      </w:r>
    </w:p>
    <w:p>
      <w:r>
        <w:rPr>
          <w:b/>
        </w:rPr>
        <w:t>E. 3.4.5</w:t>
      </w:r>
    </w:p>
    <w:p>
      <w:r>
        <w:t>Der Beschwerdeführer stützt seine Rüge der Verletzung des Rechtsgleichheitsgebotes im Wesentlichen einzig auf die voneinander abweichenden Erlasse. Er legt nicht substantiiert dar und es ist auch nicht dem angefochtenen Urteil zu entnehmen, dass die Haftungsregelung der Taxordnung im hier interessierenden Zeitraum faktisch in dem Sinne angewendet worden ist, dass in bloss tatsächlich getrennter Ehe lebende Ehegatten von Patienten öffentlich-rechtlicher Spitäler ohne eigene Rechtspersönlichkeit keiner Haftung unterliegen. Es ist durchaus denkbar, dass im Einzelfall auch bei unselbständigen öffentlich-rechtlichen Spitälern für die Haftung (anstelle der Regelung der Taxordnung) § 16 Abs. 3 SPFG herangezogen wurde.</w:t>
      </w:r>
    </w:p>
    <w:p>
      <w:r>
        <w:t>Vor diesem Hintergrund kann der Beschwerdeführer aus dem Gebot der Gleichbehandlung in der Rechtsanwendung nichts zu seinen Gunsten ableiten. Insbesondere ist auch ein Anspruch des Beschwerdeführers auf Gleichbehandlung im Unrecht ausgeschlossen, da hierfür nach der Rechtsprechung namentlich eine (vorliegend nicht nachgewiesene) ständige rechtswidrige Praxis erforderlich ist (vgl. BGE 139 II 49 E. 7.1 S. 61 ; 136 I 65 E. 5.6 S. 78).</w:t>
      </w:r>
    </w:p>
    <w:p>
      <w:r>
        <w:t>Zudem kann der Anspruch auf Gleichbehandlung in der Rechtsanwendung praxisgemäss nur verletzt sein, wenn</w:t>
      </w:r>
    </w:p>
    <w:p>
      <w:r>
        <w:t>dieselbe Behörde Gleiches nicht nach Massgabe seiner Gleichheit oder Ungleiches nicht nach Massgabe seiner Ungleichheit behandelt. Dies gilt auch für einen allfälligen Anspruch auf Gleichbehandlung im Unrecht (vgl. Urteil 2C_345/2012 vom 27. September 2012 E. 3.2, mit weiteren Hinweisen). Vorliegend würde es sich gegebenenfalls zum einen um die Anwendung von § 16 Abs. 3 lit. a SPFG durch das Universitätsspital Zürich bzw. deren Direktion Finanzen und zum anderen um die Rechtsanwendung durch unselbständige öffentlich-rechtliche Spitäler handeln, so dass keine von der gleichen Behörde ausgehende Ungleichbehandlung vorliegen würde.</w:t>
      </w:r>
    </w:p>
    <w:p>
      <w:r>
        <w:t>Ein Anspruch auf Gleichbehandlung im Unrecht würde sodann zusätzlich voraussetzen, dass die rechtsanwendende Behörde zu erkennen gibt, dass sie auch in Zukunft nicht von ihrer rechtswidrigen Praxis abzuweichen gedenke (vgl. BGE 139 II 49 E. 7.1 S. 61 ; 136 I 65 E. 5.6 S. 78). Beim hier zu beurteilenden Fall wurde aber behördlicherseits unbestrittenermassen nicht bekundet, dass eine allenfalls rechtswidrige praxisgemässe Privilegierung von Ehegatten von Patienten öffentlich-rechtlicher Spitäler ohne eigene Rechtspersönlichkeit weitergeführt werden soll. Nach der Darstellung der Direktion Finanzen des Universitätsspitals Zürich kommt die Haftungsregelung der Taxordnung ohnehin nicht mehr zum Tragen, bringt sie doch vor dem Bundesgericht vor, es würden im Kanton Zürich zwischenzeitlich keine öffentlich-rechtlichen Spitäler ohne eigene Rechtspersönlichkeit mehr existieren.</w:t>
      </w:r>
    </w:p>
    <w:p>
      <w:r>
        <w:t>Vor diesem Hintergrund stösst der Beschwerdeführer mit seiner Rüge der Verletzung des Gleichbehandlungsgebotes ( Art. 8 Abs. 1 BV ) ins Leere.</w:t>
      </w:r>
    </w:p>
    <w:p>
      <w:r>
        <w:rPr>
          <w:b/>
        </w:rPr>
        <w:t>E. 4</w:t>
      </w:r>
    </w:p>
    <w:p>
      <w:r>
        <w:t>Nach dem Dargelegten ist die Beschwerde, soweit darauf einzutreten ist, unbegründet und abzuweisen. 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