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2C_94/2007 vom 26. Juli 2007</w:t>
      </w:r>
    </w:p>
    <w:p>
      <w:r>
        <w:t>Bundesgericht, 2007-07-26, FR</w:t>
      </w:r>
    </w:p>
    <w:p>
      <w:r>
        <w:rPr>
          <w:b/>
        </w:rPr>
        <w:t xml:space="preserve">Quelle: </w:t>
      </w:r>
      <w:r>
        <w:t>https://mcp.opencaselaw.ch/entscheid/bger_2C_94_2007</w:t>
      </w:r>
    </w:p>
    <w:p>
      <w:r>
        <w:t>FR: TF 2C_94/2007 du 26 juillet 2007</w:t>
      </w:r>
    </w:p>
    <w:p>
      <w:r>
        <w:t>IT: TF 2C_94/2007 del 26 luglio 2007</w:t>
      </w:r>
    </w:p>
    <w:p>
      <w:pPr>
        <w:pStyle w:val="Heading2"/>
      </w:pPr>
      <w:r>
        <w:t>Erwägungen</w:t>
      </w:r>
    </w:p>
    <w:p>
      <w:r>
        <w:rPr>
          <w:b/>
        </w:rPr>
        <w:t>E. 1</w:t>
      </w:r>
    </w:p>
    <w:p>
      <w:r>
        <w:t>La décision attaquée a été rendue après l'entrée en vigueur, le 1er janvier 2007, de la loi sur le Tribunal fédéral du 17 juin 2005 (LTF; RS 173.110), qui remplace la loi fédérale d'organisation judiciaire du 16 décembre 1943 (cf. art. 131 al. 1 LTF ). La présente procédure de recours est donc régie par le nouveau droit (cf. art. 132 al. 1 LTF ).</w:t>
      </w:r>
    </w:p>
    <w:p>
      <w:r>
        <w:rPr>
          <w:b/>
        </w:rPr>
        <w:t>E. 2.1</w:t>
      </w:r>
    </w:p>
    <w:p>
      <w:r>
        <w:t>Comme époux d'une ressortissante suisse, AX.________ peut en principe déduire un droit de séjour par regroupement familial de l' art. 7 al. 1 LSEE . Son recours, formé en temps utile et dans les formes prescrites, est dès lors recevable comme recours en matière de droit public (cf. art. 83 lettre c ch. 2 LTF a contrario). Bien qu'elle ne soit pas mentionnée dans le rubrum de l'arrêt attaqué, son épouse avait conjointement recouru avec lui contre la décision de l'Office fédéral; elle a donc également qualité pour recourir (cf. art. 89 al. 1 lettre a LTF ).</w:t>
      </w:r>
    </w:p>
    <w:p>
      <w:r>
        <w:rPr>
          <w:b/>
        </w:rPr>
        <w:t>E. 2.2</w:t>
      </w:r>
    </w:p>
    <w:p>
      <w:r>
        <w:t>Les recourants fondent pour partie leur argumentation sur les dispositions de l'Accord sur la libre circulation des personnes en matière de regroupement familial. Ce moyen n'est pas recevable, car il repose sur un fait nouveau allégué pour la première fois devant le Tribunal fédéral, à savoir la nationalité française de l'épouse du recourant (cf. art. 99 LTF ).</w:t>
      </w:r>
    </w:p>
    <w:p>
      <w:r>
        <w:rPr>
          <w:b/>
        </w:rPr>
        <w:t>E. 3.1</w:t>
      </w:r>
    </w:p>
    <w:p>
      <w:r>
        <w:t>Le Tribunal administratif fédéral a correctement exposé les dispositions légales (art. 7 al. 1 et 10 al. 1 lettre a LSEE; art. 8 CEDH ) et les principes jurisprudentiels applicables (cf. ATF 125 II 633 consid. 2e p. 639; 122 II 1 consid. 2 p. 5 s.; 120 Ib 6 consid. 4 p. 12 ss) en matière d'octroi ou de refus d'une autorisation de séjour lorsque l'époux étranger d'un ressortissant suisse présente un motif d'expulsion, de sorte qu'il suffit, sur ce point, de renvoyer à l'arrêt attaqué ( art. 109 al. 3 LTF ). On rappellera simplement que l'autorité doit en particulier tenir compte, dans la pesée des intérêts, de la gravité de la faute commise par l'étranger, de la durée de son séjour en Suisse et du préjudice qu'il aurait à subir avec sa famille du fait de l'expulsion (cf. art. 11 al. 3 LSEE en relation avec l'art. 16 al. 3 du règlement d'exécution du 1er mars 1949 de la loi fédérale sur le séjour et l'établissement des étrangers [RSEE; RS 142.201]).</w:t>
      </w:r>
    </w:p>
    <w:p>
      <w:r>
        <w:t>Pour le surplus, les recourants ne peuvent déduire aucun droit à une autorisation de séjour en faveur de AX.________ des dispositions de la Convention relative aux droits de l'enfant (cf. ATF 126 II 377 consid. 4 et 5 pp. 388-392; 124 II 361 consid. 3b p. 367). A cet égard, les griefs tendant à faire admettre que les intérêts de leurs enfants n'auraient pas été suffisamment pris en considération par le Tribunal administratif fédéral (cf. art. 3 § 1 de la Convention relative aux droits de l'enfant) ou que leur cas n'aurait pas été examiné "dans un esprit positif, avec humanité et diligence" (cf. art. 10 § 1 de la convention précitée) reviennent à se plaindre d'une mauvaise pesée des intérêts en présence et se confondent avec les moyens tirés de la violation des art. 7 al. 1 LSEE et 8 CEDH (cf. arrêt du 7 février 2007, 2A.195/2006, consid. 3).</w:t>
      </w:r>
    </w:p>
    <w:p>
      <w:r>
        <w:rPr>
          <w:b/>
        </w:rPr>
        <w:t>E. 3.2</w:t>
      </w:r>
    </w:p>
    <w:p>
      <w:r>
        <w:t>A raison, les recourants ne contestent pas qu'au regard des condamnations prononcées à son égard en France, AX.________ réalise le motif d'expulsion prévu à l' art. 10 al. 1 lettre a LSEE . Ils estiment toutefois que le Tribunal administratif fédéral n'a pas suffisamment tenu compte, dans la pesée des intérêts, de certains éléments. En particulier, ils invoquent une série de motifs de nature, selon eux, à relativiser la gravité des infractions commises.</w:t>
      </w:r>
    </w:p>
    <w:p>
      <w:r>
        <w:t>En l'espèce, l'intéressé a été condamné à deux reprises pour des infractions d'une gravité certaine puisqu'elles lui ont à chaque fois valu des peines de trois ans d'emprisonnement. Certes, les recourants soutiennent que ces peines sont sans commune mesure avec les sanctions qui auraient été prononcées en Suisse pour des faits semblables, en alléguant que, dans notre pays, ceux-ci auraient donné lieu "à une amende, voire à quelques mois d'emprisonnement [...] avec sursis, tout au plus". Cet argument repose pour l'essentiel sur de pures spéculations, les quelques spécificités du système pénal français que les recourants mettent en avant n'étant pas de nature à établir la réalité de ce qu'ils allèguent. Que les biens juridiques lésés par les actes incriminés aient revêtu un caractère essentiellement patrimonial, que la seconde des condamnations ait été prononcée en première instance sans faire l'objet d'un recours ou encore que l'intéressé n'ait commis certaines des infractions visées qu'en qualité de complice, sont des circonstances qui ne changent fondamentalement rien à la gravité intrinsèque des actes reprochés. Du reste, ceux-ci ont pour partie été commis en bande et se sont, du moins en ce qui concerne la première condamnation, étalés sur une période relativement importante (de 1996 à 1998). On ne saurait donc parler d'une simple erreur de jeunesse ou d'actes isolés. Par ailleurs et surtout, le recourant n'a pas hésité à récidiver après sa première condamnation, montrant par là une inclination certaine à la délinquance en même temps qu'une incapacité à s'amender. Sa faute pèse dès lors lourdement dans la pesée des intérêts.</w:t>
      </w:r>
    </w:p>
    <w:p>
      <w:r>
        <w:t>Par ailleurs, le recourant n'a vécu en Suisse que durant une période de temps limitée. Les seules attaches qu'il peut invoquer avec notre pays sont donc ses liens de famille. Et, au vrai, c'est bien là le seul point pouvant être mis à son actif dans la balance, soit l'intérêt de sa famille à pouvoir vivre auprès de lui. On peut en effet difficilement exiger de son épouse qu'elle le rejoigne en Côte d'Ivoire au vu des conditions de vie notoirement précaires y régnant. On ne saurait toutefois accorder un poids décisif à cet aspect, car l'intéressée n'ignorait rien, comme l'ont constaté les premiers juges, du risque de devoir faire sa vie à l'étranger avec AX.________ lorsqu'elle a décidé de se marier avec lui (cf. ATF 116 Ib 353 consid. 3e-f p. 358 ss). Quant aux enfants C.________ et D.________, aujourd'hui âgées de moins de cinq ans et de quelques mois, elles sont encore suffisamment jeunes, cas échéant, pour pouvoir s'intégrer avec une relative facilité dans un nouveau pays d'accueil.</w:t>
      </w:r>
    </w:p>
    <w:p>
      <w:r>
        <w:t>Compte tenu de l'ensemble des circonstances du cas, en particulier de la gravité des infractions commises par le recourant, pour certaines en état de récidive, l'intérêt de lui-même et de sa famille à ce qu'il puisse vivre en Suisse n'est pas suffisant pour lui conférer le droit à une autorisation de séjour au titre des art. 7 al. 1 LSEE ou 8 CEDH.</w:t>
      </w:r>
    </w:p>
    <w:p>
      <w:r>
        <w:rPr>
          <w:b/>
        </w:rPr>
        <w:t>E. 4</w:t>
      </w:r>
    </w:p>
    <w:p>
      <w:r>
        <w:t>Il s'ensuit que le recours doit être rejeté et la décision attaquée confirmée.</w:t>
      </w:r>
    </w:p>
    <w:p>
      <w:r>
        <w:t>Succombant, les recourants doivent supporter un émolument judiciaire solidairement entre eux (cf. art. 65 et 66 al. 1 et 5 LTF ) et n'ont pas droit à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