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947/2017 vom 8. November 2017</w:t>
      </w:r>
    </w:p>
    <w:p>
      <w:r>
        <w:t>Bundesgericht, 2017-11-08, DE</w:t>
      </w:r>
    </w:p>
    <w:p>
      <w:r>
        <w:rPr>
          <w:b/>
        </w:rPr>
        <w:t xml:space="preserve">Quelle: </w:t>
      </w:r>
      <w:r>
        <w:t>https://mcp.opencaselaw.ch/entscheid/bger_2C_947_2017</w:t>
      </w:r>
    </w:p>
    <w:p>
      <w:r>
        <w:t>FR: TF 2C 947/2017 du 8 novembre 2017</w:t>
      </w:r>
    </w:p>
    <w:p>
      <w:r>
        <w:t>IT: TF 2C 947/2017 del 8 novembre 2017</w:t>
      </w:r>
    </w:p>
    <w:p>
      <w:pPr>
        <w:pStyle w:val="Heading2"/>
      </w:pPr>
      <w:r>
        <w:t>Regeste</w:t>
      </w:r>
    </w:p>
    <w:p>
      <w:r>
        <w:t>Stipendien | Unterrichtswesen und Berufsausbildung</w:t>
      </w:r>
    </w:p>
    <w:p>
      <w:pPr>
        <w:pStyle w:val="Heading2"/>
      </w:pPr>
      <w:r>
        <w:t>Erwägungen</w:t>
      </w:r>
    </w:p>
    <w:p>
      <w:r>
        <w:rPr>
          <w:b/>
        </w:rPr>
        <w:t>E. 1</w:t>
      </w:r>
    </w:p>
    <w:p>
      <w:r>
        <w:t>A.________ besucht seit dem 10. August 2015 die Tageshandelsschule der Bénédict-Schule Zürich AG. Mit Verfügung vom 23. November 2015 gewährte ihm der Dienst für Finanzen und Informatik (Abteilung Stipendien und Studiendarlehen) des Bildungsdepartements des Kantons St. Gallen für das Ausbildungsjahr 2015/2016 ein Stipendium, auszahlbar in zwei Halbjahresraten während des Herbstsemesters 2015/2016 und des Frühlingssemesters 2016. Dabei wurde die Auszahlung der Halbjahresrate für das Frühlingssemester an die Suspensivbedingung geknüpft, dass bis 15. Mai 2016 eine nach Beginn des Frühlingssemesters 2016 ausgestellte Ausbildungsbestätigung der Schule einzureichen sei, wobei angedroht wurde, dass der Stipendienanspruch für das Frühlingssemester 2016 bei entsprechender Säumnis entfalle. Am 16. September 2016 verweigerte die Stipendienabteilung die Gewährung von Stipendien für das Frühlingssemester 2016, weil der Auflage, bis 15. Mai 2016 die Ausbildungsbestätigung der Schule einzureichen, nicht innert Frist Folge geleistet worden sei. Den gegen diese Verfügung erhobenen Rekurs wies das Bildungsdepartement des Kantons St. Gallen mit Entscheid vom 24. April 2017 ab. Die gegen den Departementsentscheid erhobene Beschwerde wies das Verwaltungsgericht des Kantons St. Gallen mit Entscheid vom 26. September 2017 ab, soweit darauf eingetreten wurde. Am 6. November 2017 (Postaufgabe) hat A.________ beim Bundesgericht eine vom 3. November 2017 datierte Beschwerde gegen den verwaltungsgerichtlichen Entscheid eingereicht mit den Begehren, dieser Entscheid sei aufzuheben und das kantonale Bildungsdepartement sei aufzufordern, die fehlenden Stipendiengelder nachzuzahlen.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weitgehend) auf kantonalem Recht, kann im Wesentlichen bloss die Verletzung verfassungsmässiger Rechte, namentlich Willkür, bei dessen Anwendung gerügt werden; entsprechende Rügen bedürfen gemäss Art. 106 Abs. 2 BGG besonderer Geltendmachung und Begründung ( BGE 141 I 36 E. 1.3 S. 41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Das Verwaltungsgericht verwirft zunächst Rügen des Beschwerdeführers betreffend das Beschleunigungsgebot (E. 3) und das rechtliche Gehör (E. 4). Es befasst sich dann mit den rechtlichen Grundlagen für die Einreichefrist und deren (Nicht-) Einhaltung im konkreten Fall (E. 5) und erläutert, warum vorliegend die Voraussetzungen für die Wiederherstellung der verpassten Frist nicht erfüllt gewesen wären (E. 6). Der Beschwerdeführer lässt eine gezielten Auseinandersetzung mit diesen Erwägungen vermissen und zeigt in keiner Weise auf, inwiefern der angefochtene Entscheid auf offensichtlich unrichtigen Sachverhaltsfeststellungen beruhe oder in welcher Weise er welche verfassungsmässige Rechte missachte bzw. sonst wie schweizerisches Recht verletze. Die Beschwerde enthält offensichtlich keine den Anforderungen von Art. 42 Abs. 2 und Art. 106 Abs. 2 BGG genügende Begründung ( Art. 108 Abs. 1 lit. b BGG ). Es ist darauf mit Entscheid des Abteilungspräsidenten als Einzelrichter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