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2C_944/2011 vom 23. November 2011</w:t>
      </w:r>
    </w:p>
    <w:p>
      <w:r>
        <w:t>Bundesgericht, 2011-11-23, FR</w:t>
      </w:r>
    </w:p>
    <w:p>
      <w:r>
        <w:rPr>
          <w:b/>
        </w:rPr>
        <w:t xml:space="preserve">Quelle: </w:t>
      </w:r>
      <w:r>
        <w:t>https://mcp.opencaselaw.ch/entscheid/bger_2C_944_2011</w:t>
      </w:r>
    </w:p>
    <w:p>
      <w:r>
        <w:t>FR: TF 2C_944/2011 du 23 novembre 2011</w:t>
      </w:r>
    </w:p>
    <w:p>
      <w:r>
        <w:t>IT: TF 2C_944/2011 del 23 novembre 2011</w:t>
      </w:r>
    </w:p>
    <w:p>
      <w:pPr>
        <w:pStyle w:val="Heading2"/>
      </w:pPr>
      <w:r>
        <w:t>Erwägungen</w:t>
      </w:r>
    </w:p>
    <w:p>
      <w:r>
        <w:rPr>
          <w:b/>
        </w:rPr>
        <w:t>E. 1</w:t>
      </w:r>
    </w:p>
    <w:p>
      <w:r>
        <w:t>Par décision du 12 octobre 2011, le juge instructeur du Tribunal cantonal du canton de Vaud a constaté comme retiré le recours déposé le 19 juillet 2011 par X.________ contre la décision du Service de la population du canton de Vaud du 11 juillet 2001 refusant de lui délivrer, ainsi qu'à sa fille A.________, une autorisation de séjour et prononçant son renvoi de Suisse. Le délai échéant le 19 septembre 2011 aux fins de régulariser le recours par apposition d'une signature imparti par courrier du Tribunal cantonal du 9 septembre 2011 n'avait pas été respecté. La cause a été rayée du rôle.</w:t>
      </w:r>
    </w:p>
    <w:p>
      <w:r>
        <w:rPr>
          <w:b/>
        </w:rPr>
        <w:t>E. 2</w:t>
      </w:r>
    </w:p>
    <w:p>
      <w:r>
        <w:t>Par courrier du 19 novembre 2011, l'intéressé a interjeté un recours auprès du Tribunal fédéral pour exposer sa situation personnelle, ses projets d'avenir et demander la délivrance d'une autorisation de séjour.</w:t>
      </w:r>
    </w:p>
    <w:p>
      <w:r>
        <w:rPr>
          <w:b/>
        </w:rPr>
        <w:t>E. 3</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w:t>
      </w:r>
    </w:p>
    <w:p>
      <w:r>
        <w:t>Le courrier du 19 novembre 2011 ne répond manifestement pas aux exigences de motivation prévues par l' art. 42 LTF . En effet, il n'expose pas en quoi la décision rendue le 12 octobre 2011 par le Tribunal cantonal violerait le droit en déclarant retiré le mémoire du 19 juillet 2011 dont les irrégularités - ici l'absence de signature - n'ont pas été corrigées malgré l'octroi d'un délai à cet effet.</w:t>
      </w:r>
    </w:p>
    <w:p>
      <w:r>
        <w:rPr>
          <w:b/>
        </w:rPr>
        <w:t>E. 4</w:t>
      </w:r>
    </w:p>
    <w:p>
      <w:r>
        <w:t>Le recours est ainsi manifestement irrecevable ( art. 108 al. 1 let. b LTF ) et doit être traité selon la procédure simplifiée de l' art. 108 LTF , sans qu'il y ait lieu d'ordonner un échange d'écritures. Au vu des circonstances de la cause, il se justifie de ne pas percevoir de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