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943/2019 vom 22. November 2019</w:t>
      </w:r>
    </w:p>
    <w:p>
      <w:r>
        <w:t>Bundesgericht, 2019-11-22, IT</w:t>
      </w:r>
    </w:p>
    <w:p>
      <w:r>
        <w:rPr>
          <w:b/>
        </w:rPr>
        <w:t xml:space="preserve">Quelle: </w:t>
      </w:r>
      <w:r>
        <w:t>https://mcp.opencaselaw.ch/entscheid/bger_2C_943_2019</w:t>
      </w:r>
    </w:p>
    <w:p>
      <w:r>
        <w:t>FR: TF 2C 943/2019 du 22 novembre 2019</w:t>
      </w:r>
    </w:p>
    <w:p>
      <w:r>
        <w:t>IT: TF 2C 943/2019 del 22 novembre 2019</w:t>
      </w:r>
    </w:p>
    <w:p>
      <w:pPr>
        <w:pStyle w:val="Heading2"/>
      </w:pPr>
      <w:r>
        <w:t>Regeste</w:t>
      </w:r>
    </w:p>
    <w:p>
      <w:r>
        <w:t>Imposta federale diretta e imposta cantonale 2012 (assistenza giudiziaria) | Finanze pubbliche &amp; diritto tributario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Per quanto precede, il ricorso dev'essere respinto, poiché infondato. L'istanza di assistenza giudiziaria - tendente all'esonero dal pagamento di "tasse e spese" - va parimenti respinta poiché, formulato nei termini descritti, il ricorso appariva sin dall'inizio privo di probabilità di successo ( art. 64 cpv. 1 e 2 LTF ). Le spese giudiziarie seguono quindi la soccombenza ( art. 66 cpv. 1 e 5 LTF ). Non si assegnano ripetibili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