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940/2022 vom 28. November 2022</w:t>
      </w:r>
    </w:p>
    <w:p>
      <w:r>
        <w:t>Bundesgericht, 2022-11-28, IT</w:t>
      </w:r>
    </w:p>
    <w:p>
      <w:r>
        <w:rPr>
          <w:b/>
        </w:rPr>
        <w:t xml:space="preserve">Quelle: </w:t>
      </w:r>
      <w:r>
        <w:t>https://mcp.opencaselaw.ch/entscheid/bger_2C_940_2022</w:t>
      </w:r>
    </w:p>
    <w:p>
      <w:r>
        <w:t>FR: TF 2C 940/2022 du 28 novembre 2022</w:t>
      </w:r>
    </w:p>
    <w:p>
      <w:r>
        <w:t>IT: TF 2C 940/2022 del 28 novembre 2022</w:t>
      </w:r>
    </w:p>
    <w:p>
      <w:pPr>
        <w:pStyle w:val="Heading2"/>
      </w:pPr>
      <w:r>
        <w:t>Regeste</w:t>
      </w:r>
    </w:p>
    <w:p>
      <w:r>
        <w:t>Assistenza amministrativa (CDI CH-IT) | Assistenza giudiziaria e estradizione</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 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 a. è o è stato titolare di uno o più conti presso [la banca]; b. il titolare del conto ha o ha avuto un indirizzo di domicilio o di residenza in Italia (sulla base della documentazione in possesso [della banca]); 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 d. nonostante tale lettera, il titolare del conto non ha fornito [alla banca] prove sufficienti del rispetto degli obblighi fiscali". In considerazione degli elementi a sua disposizione, l'autorità italiana ha dunque richiesto all'AFC: --..]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 a. informazioni anagrafiche dei 'recalcitrant account holders' (cognome, nome, data di nascita e ultimo indirizzo noto risultante dalla documentazione bancaria); b. numero identificativo del conto o dei conti detenuti presso [la banca]; 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w:t>
      </w:r>
    </w:p>
    <w:p>
      <w:r>
        <w:rPr>
          <w:b/>
        </w:rPr>
        <w:t>E. 1.4</w:t>
      </w:r>
    </w:p>
    <w:p>
      <w:r>
        <w:t>Con decisione finale dell'11 maggio 2020, l'AFC ha accolto la domanda raggruppata di assistenza amministrativa in materia fiscale formulata dall'autorità richiedente il 23 novembre 2018 relativamente a F.________, il quale, nel periodo oggetto della domanda, era titolare di un conto presso la B.________/C.________. Il 5 giugno 2020, l'interessato ha interposto ricorso al Tribunale amministrativo federale, opponendosi all'esecuzione della domanda in questione. Con sentenza del 9 novembre 2022, tale autorità ha respinto il ricorso.</w:t>
      </w:r>
    </w:p>
    <w:p>
      <w:r>
        <w:rPr>
          <w:b/>
        </w:rPr>
        <w:t>E. 1.5</w:t>
      </w:r>
    </w:p>
    <w:p>
      <w:r>
        <w:t>Il 21 novembre 2022, F.________ ha inoltrato dinanzi al Tribunale federale un ricorso in materia di diritto pubblico con cui domanda, protestate tasse, spese e ripetibili, la riforma della sentenza del Tribunale amministrativo federale del 9 novembre 2022 nel senso che la domanda di assistenza amministrativa del 23 novembre 2018 sia respinta. 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 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sentenze 2C_838/2022 del 25 ottobre 2022 consid. 2;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2C_838/2022 del 25 ottobre 2022 consid. 2; 2C_936/2021 del 2 dicembre 2021 consid. 3).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2C_838/2022 del 25 ottobre 2022 consid. 2; 2C_77/2022 del 4 febbraio 2022 consid. 2),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2C_433/2022 del 1° giugno 2022 consid. 4; 2C_936/2021 del 2 dicembre 2021 consid. 5).</w:t>
      </w:r>
    </w:p>
    <w:p>
      <w:r>
        <w:rPr>
          <w:b/>
        </w:rPr>
        <w:t>E. 3</w:t>
      </w:r>
    </w:p>
    <w:p>
      <w:r>
        <w:t>Il ricorrente sostiene che sarebbe di importanza fondamentale (cfr. art. 84a LTF ) la questione degli obblighi che lo Stato richiedente deve soddisfare, in termini di "onere della prova del modello comportamentale", per evitare che una domanda raggruppata sia considerata una " fishing expedition " (ricorso, pagg. 10 e 16). A mente dell'insorgente, che si riferisce all'art. 27 CDI CH-IT (RS 0.672.945.41), al relativo Protocollo aggiuntivo e all'accordo amichevole del 27 febbraio / 2 marzo 2017 tra la Confederazione svizzera e la Repubblica italiana sulle domande raggruppate (non pubblicato nella RS), il Tribunale federale non si sarebbe ancora pronunciato in modo esaustivo sull'adempimento formale e sostanziale di tali obblighi. In particolare, la giurisprudenza federale non sarebbe chiara sulle condizioni relative al modello di comportamento descritto nella domanda raggruppata del 23 novembre 2018 (che ricalca quello contenuto nell'accordo amichevole summenzionato), segnatamente per quanto concerne la portata e il contenuto della lettera della banca alla base del modello di comportamento in parola (cfr. supra, consid. 1.2). Contrariamente a quanto affermato dall'insorgente, tale questione è già stata esaminata nel dettaglio dal Tribunale federale nella sentenza di principio 2C_73/2021 del 27 dicembre 2021, proprio in relazione all'ammissibilità della domanda raggruppata italiana qui in esame. In tale sentenza, il Tribunale federale ha anzitutto rilevato che l'art. 27 cpv. 1 CDI CH-IT (che riprende integralmente il testo dell'art. 26 MC OCSE) e la lettera e bis del Protocollo aggiuntivo rappresentavano una valida base legale per la domanda raggruppata in parola (consid. 3.1 e 3.3). In seguito, confermando la propria giurisprudenza precedente ( DTF 143 II 136 consid. 6), il Tribunale federale ha considerato che, nel caso in cui dei clienti di una banca, dopo aver ricevuto una lettera nella quale quest'ultima li informa dell'intenzione di porre fine alla relazione contrattuale qualora essi non forniscano la prova della loro "compliance" fiscale, non ottemperano a questa richiesta preferendo porre fine alla relazione contrattuale, questo comportamento è sufficiente a fondare dei concreti sospetti di una violazione del diritto fiscale (consid. 4.3.2). Infine, l'Alta Corte ha ritenuto che l'accordo amichevole del 27 febbraio / 2 marzo 2017 non si opponeva all'ammissione della domanda raggruppata di assistenza amministrativa in esame (consid. 5). Ne deriva che la problematica non costituisce una questione specifica che si pone per la prima volta e richiede in maniera impellente un chiarimento, ma essa rappresenta unicamente un caso di applicazione della giurisprudenza, sulla quale non occorre quindi ritornare sotto l'angolo dell' art. 84a LTF .</w:t>
      </w:r>
    </w:p>
    <w:p>
      <w:r>
        <w:rPr>
          <w:b/>
        </w:rPr>
        <w:t>E. 4</w:t>
      </w:r>
    </w:p>
    <w:p>
      <w:r>
        <w:t>L'insorgente ritiene inoltre che il suo caso sia particolarmente importante ai sensi dell' art. 84 cpv. 2 LTF , riferendosi alla violazione di elementari principi procedurali. A tal proposito, il ricorrente si limita tuttavia a menzionare l'art. 3 cpv. 1 lett. a e g OAAF (RS 651.11) e a lamentare nuovamente una violazione "dell'onere della prova del modello comportamentale" (ricorso, pag. 10), senza esporre in modo chiaro quali sono in casu gli elementari principi procedurali che sarebbero a suo avviso stati violati, rispettivamente quali sarebbero le gravi lacune presentate dal procedimento all'estero (cfr. art. 84 cpv. 2 LTF ; supra consid. 2). In siffatte circostanze, il caso non può essere considerato particolarmente importante ai sensi dell' art. 84 cpv. 2 LTF .</w:t>
      </w:r>
    </w:p>
    <w:p>
      <w:r>
        <w:rPr>
          <w:b/>
        </w:rPr>
        <w:t>E. 5</w:t>
      </w:r>
    </w:p>
    <w:p>
      <w:r>
        <w:t>Alla luce di quanto precede, l'entrata in materia sulla base degli art. 84a e 84 cpv. 2 LTF va esclusa, ciò che porta a dichiarare inammissibile il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a contrario LTF).</w:t>
      </w:r>
    </w:p>
    <w:p>
      <w:r>
        <w:rPr>
          <w:b/>
        </w:rPr>
        <w:t>E. 6</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