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2C_93/2020 vom 9. März 2020</w:t>
      </w:r>
    </w:p>
    <w:p>
      <w:r>
        <w:t>Bundesgericht, 2020-03-09, DE</w:t>
      </w:r>
    </w:p>
    <w:p>
      <w:r>
        <w:rPr>
          <w:b/>
        </w:rPr>
        <w:t xml:space="preserve">Quelle: </w:t>
      </w:r>
      <w:r>
        <w:t>https://mcp.opencaselaw.ch/entscheid/bger_2C_93_2020</w:t>
      </w:r>
    </w:p>
    <w:p>
      <w:r>
        <w:t>FR: TF 2C_93/2020 du 9 mars 2020</w:t>
      </w:r>
    </w:p>
    <w:p>
      <w:r>
        <w:t>IT: TF 2C_93/2020 del 9 marzo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in Verbindung mit Art. 73 StHG [SR 642.14]).</w:t>
      </w:r>
    </w:p>
    <w:p>
      <w:r>
        <w:rPr>
          <w:b/>
        </w:rPr>
        <w:t>E. 1.2</w:t>
      </w:r>
    </w:p>
    <w:p>
      <w:r>
        <w:t>Das Bundesgericht prüft das Bundesrecht von Amtes wegen ( Art. 106 Abs. 1 BGG ; BGE 143 V 19 E. 2.3 S. 23 f.) und mit uneingeschränkter (voller) Kognition ( Art. 95 lit. a BGG ; BGE 141 V 234 E. 2 S. 236).</w:t>
      </w:r>
    </w:p>
    <w:p>
      <w:r>
        <w:rPr>
          <w:b/>
        </w:rPr>
        <w:t>E. 1.3</w:t>
      </w:r>
    </w:p>
    <w:p>
      <w:r>
        <w:t>Im Unterschied dazu geht das Bundesgericht der angeblichen Verletzung verfassungsmässiger Individualrechte (unter Einschluss der Grundrechte) nur nach, falls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inwiefern verfassungsmässige Individualrechte verletzt worden sein sollen ( BGE 143 I 1 E. 1.4 S. 5).</w:t>
      </w:r>
    </w:p>
    <w:p>
      <w:r>
        <w:rPr>
          <w:b/>
        </w:rPr>
        <w:t>E. 1.4</w:t>
      </w:r>
    </w:p>
    <w:p>
      <w:r>
        <w:t>Das Bundesgericht legt seinem Urteil grundsätzlich den Sachverhalt zugrunde, den die Vorinstanz festgestellt hat ( Art. 105 Abs. 1 BGG ; BGE 143 IV 500 E. 1.1 S. 503).</w:t>
      </w:r>
    </w:p>
    <w:p>
      <w:r>
        <w:rPr>
          <w:b/>
        </w:rPr>
        <w:t>E. 2</w:t>
      </w:r>
    </w:p>
    <w:p>
      <w:r>
        <w:t>Streitig ist das steuerbare Vermögen für die Vermögenssteuern 2012. Zu prüfen ist, ob das kantonale Gericht Bundesrecht verletzt hat, als es den Wert der von der Beschwerdeführerin gehaltenen 100 %-igen Beteiligung an der B.________ AG auf Fr. 3'919'782.-- festsetzte.</w:t>
      </w:r>
    </w:p>
    <w:p>
      <w:r>
        <w:rPr>
          <w:b/>
        </w:rPr>
        <w:t>E. 3</w:t>
      </w:r>
    </w:p>
    <w:p>
      <w:r>
        <w:t>Die Beschwerdeführerin rügt unter mehreren Aspekten eine Verletzung des rechtlichen Gehörs.</w:t>
      </w:r>
    </w:p>
    <w:p>
      <w:r>
        <w:rPr>
          <w:b/>
        </w:rPr>
        <w:t>E. 3.1</w:t>
      </w:r>
    </w:p>
    <w:p>
      <w:r>
        <w:t>Die Vorinstanz habe behauptet, mit der Beschwerde seien weitere Beilagen eingereicht worden, die wegen des Novenverbots unzulässig seien, ohne im einzelnen zu begründen, inwiefern Noven vorliegen sollen; sämtliche Akten seien schon vor den unteren Instanzen eingereicht worden. Wenn es sich so verhält, wie die Beschwerdeführerin vorbringt, kann sie aber durch die Nichtbeachtung der nicht vorhandenen Noven von vornherein nicht benachteiligt worden sein.</w:t>
      </w:r>
    </w:p>
    <w:p>
      <w:r>
        <w:rPr>
          <w:b/>
        </w:rPr>
        <w:t>E. 3.2</w:t>
      </w:r>
    </w:p>
    <w:p>
      <w:r>
        <w:t>Sie habe vor Steuerrekursgericht nur eine dreitägige Frist zur Stellungnahme auf die Rekursantwort des Steueramts gehabt, weshalb sie eine Fachmitteilung betreffend Unternehmensbewertung nicht habe einbringen können. Die Vorinstanz hat indessen u.a festgestellt, dass die Rekursantwort ohne weitergehende Ausführungen lediglich die Abweisung des Rekurses beantragte (E. 2.3 des angefochtenen Entscheids). Eine Replik dazu war demnach möglich, auch wenn die Replikfrist kurz bemessen war.</w:t>
      </w:r>
    </w:p>
    <w:p>
      <w:r>
        <w:rPr>
          <w:b/>
        </w:rPr>
        <w:t>E. 3.3</w:t>
      </w:r>
    </w:p>
    <w:p>
      <w:r>
        <w:t>Die Vorinstanz habe willkürlich und aktenwidrig unterstellt, sie - die Beschwerdeführerin - habe in dem im Kanton Zug geführten Bewertungsverfahren Parteistellung gehabt oder doch als Geschäftsführerin der Gesellschaft sich äussern können; das treffe nicht zu und das Bewertungsverfahren in Zug sei unter Verletzung des rechtlichen Gehörs geführt worden. Soweit das Vorbringen die angebliche Verletzung durch die Steuerverwaltung des Kantons Zug gegenüber der B.________ AG betrifft, ist dies nicht im vorliegenden Verfahren zu prüfen. Die Zürcher Behörden sind nicht verantwortlich für eine allfällige Gehörsverletzung durch die zugerischen Behörden. Die Festsetzung des Steuerwerts der Gesellschaft durch die Steuerbehörden des Kantons Zug ist für die Zürcher Behörden nicht verbindlich, woran auch der Umstand nichts zu ändern vermag, dass die Behörden des Kantons Zürich im Ergebnis von demselben Steuerwert ausgingen (vgl. das die Vermögenssteuern 2011 derselben Beschwerdeführerin betreffende Urteil 2C_277/2018 vom 6. Mai 2019 E. 3).</w:t>
      </w:r>
    </w:p>
    <w:p>
      <w:r>
        <w:rPr>
          <w:b/>
        </w:rPr>
        <w:t>E. 4</w:t>
      </w:r>
    </w:p>
    <w:p>
      <w:r>
        <w:t>Art. 13 Abs. 1 und Art. 14 Abs. 1 des Bundesgesetzes vom 14. Dezember 1990 über die Harmonisierung der direkten Steuern der Kantone und Gemeinden (Steuerharmonisierungsgesetz, StHG; SR 642.14) unterliegt der Vermögenssteuer das gesamte Reinvermögen, bewertet zum Verkehrswert, wobei der Ertragswert angemessen berücksichtigt werden kann. Die Bewertung zum Verkehrswert ist für die Kantone bindend. Nach welchen Regeln der Verkehrswert zu ermitteln ist, schreibt das Steuerharmonisierungsgesetz indessen nicht vor. Ebenso wenig wird die Kann-Vorschrift der angemessenen Berücksichtigung des Ertragswertes näher geregelt. Den Kantonen steht daher ein weiter Gestaltungsspielraum offen ( BGE 134 II 207 E. 3.6 S. 214, mit Hinweisen). In dem Umfang, als das Steuerharmonisierungsgesetz den Kantonen bewusst einen Handlungsspielraum belässt, beschränkt sich die Prüfungsbefugnis des Bundesgerichts auf die Frage, ob die Vorinstanzen bei Anwendung und Konkretisierung der kantonalen Steuerordnung gegen Bundesverfassungsrecht, insbesondere gegen das Willkürverbot verstossen haben ( BGE 134 II 207 E. 2 S. 210).</w:t>
      </w:r>
    </w:p>
    <w:p>
      <w:r>
        <w:rPr>
          <w:b/>
        </w:rPr>
        <w:t>E. 5</w:t>
      </w:r>
    </w:p>
    <w:p>
      <w:r>
        <w:t>Das kantonale Gericht setzte den Wert der von der Beschwerdeführerin gehaltenen 100 %-igen Beteiligung an der B.________ AG auf Fr. 3'919'782.-- fest, wobei es aufgrund des starken Personenbezugs der Gesellschaft den Steuerwert mit dem Mittelwert zwischen Ertrags- und Substanzwert gleichsetzte. Diese Vorgehensweise orientierte sich an der Empfehlung der Schweizerischen Steuerkonferenz im Kommentar zum Kreisschreiben Nr. 28 und wurde - allerdings für das Steuerjahr 2011 - vom Bundesgericht in dem dieselbe Beschwerdeführerin betreffenden Urteil 2C_277/2018 vom 6. Mai 2019 bestätigt. Neue Aspekte, welche für das vorliegend streitige Jahr 2012 eine abweichende Beurteilung rechtfertigen würden, werden von der Beschwerdeführerin keine dargetan. Insbesondere ergeben sich solche auch nicht aus den im vorinstanzlichen Verfahren neu eingereichten Unterlagen. Damit kann auch offenbleiben, ob die Nichtberücksichtigung dieser Unterlagen durch das kantonale Gericht aus formellen Gründen allenfalls bundesrechtswidrig war. Die Beschwerde der Steuerpflichtigen ist abzuweisen.</w:t>
      </w:r>
    </w:p>
    <w:p>
      <w:r>
        <w:rPr>
          <w:b/>
        </w:rPr>
        <w:t>E. 6</w:t>
      </w:r>
    </w:p>
    <w:p>
      <w:r>
        <w:t>Da die Beschwerde offensichtlich unbegründet ist, wird sie im Verfahren nach Art. 109 Abs. 2 lit. a BGG erledigt. Der Beschwerdeführerin sind demnach die Gerichtskosten aufzuerlegen ( Art. 66 Abs. 1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