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937/2013 vom 6. Juni 2014</w:t>
      </w:r>
    </w:p>
    <w:p>
      <w:r>
        <w:t>Bundesgericht, 2014-06-06, FR</w:t>
      </w:r>
    </w:p>
    <w:p>
      <w:r>
        <w:rPr>
          <w:b/>
        </w:rPr>
        <w:t xml:space="preserve">Quelle: </w:t>
      </w:r>
      <w:r>
        <w:t>https://mcp.opencaselaw.ch/entscheid/bger_2C_937_2013</w:t>
      </w:r>
    </w:p>
    <w:p>
      <w:r>
        <w:t>FR: TF 2C 937/2013 du 6 juin 2014</w:t>
      </w:r>
    </w:p>
    <w:p>
      <w:r>
        <w:t>IT: TF 2C 937/2013 del 6 giugno 2014</w:t>
      </w:r>
    </w:p>
    <w:p>
      <w:pPr>
        <w:pStyle w:val="Heading2"/>
      </w:pPr>
      <w:r>
        <w:t>Regeste</w:t>
      </w:r>
    </w:p>
    <w:p>
      <w:r>
        <w:t>Impôts cantonaux et communaux 2009 | Finances publiques &amp; droit fiscal</w:t>
      </w:r>
    </w:p>
    <w:p>
      <w:pPr>
        <w:pStyle w:val="Heading2"/>
      </w:pPr>
      <w:r>
        <w:t>Erwägungen</w:t>
      </w:r>
    </w:p>
    <w:p>
      <w:r>
        <w:rPr>
          <w:b/>
        </w:rPr>
        <w:t>E. 1.1</w:t>
      </w:r>
    </w:p>
    <w:p>
      <w:r>
        <w:t>L'arrêt attaqué constitue une décision finale ( art. 90 LTF ) rendue dans une cause de droit public par une autorité judiciaire supérieure de dernière instance cantonale ( art. 86 al. 1 let . d et al. 2 LTF) qui concerne à la fois l'impôt fédéral direct et l'impôt cantonal harmonisé, ce qui est admissible, dès lors que la question juridique à trancher est réglée de la même façon en droit fédéral et dans le droit cantonal harmonisé. Dans ces circonstances, on ne peut reprocher aux recourants d'avoir formé les mêmes griefs et pris des conclusions valant pour les deux catégories d'impôts dans un seul acte de recours, puisqu'il ressort clairement de leur mémoire qu'ils s'en prennent aux deux catégories d'impôts (cf. ATF 135 II 260 ss). Par souci d'unification par rapport à d'autres cantons dans lesquels deux décisions sont rendues lorsque l'IFD et l'ICC sont en jeu, la Cour de céans a toutefois ouvert deux dossiers (causes 2C_937/2013 et 2C_938/2013). Comme l'état de fait est identique et que les questions juridiques se recoupent, les causes seront néanmoins jointes et il sera statué dans un seul arrêt (cf. art. 71 LTF et 24 al. 1 de la loi de procédure civile fédérale du 4 décembre 1947 [PCF; RS 273]).</w:t>
      </w:r>
    </w:p>
    <w:p>
      <w:r>
        <w:rPr>
          <w:b/>
        </w:rPr>
        <w:t>E. 1.2</w:t>
      </w:r>
    </w:p>
    <w:p>
      <w:r>
        <w:t>Au surplus, déposé en temps utile par les destinataires de l'arrêt attaqué, qui ont un intérêt digne de protection à l'annulation ou à la modification de celui-ci, le présent recours en matière de droit public est en principe recevable en vertu des art. 82 ss LTF , 146 LIFD et 73 al. 1 LHID.</w:t>
      </w:r>
    </w:p>
    <w:p>
      <w:r>
        <w:rPr>
          <w:b/>
        </w:rPr>
        <w:t>E. 1.3</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2</w:t>
      </w:r>
    </w:p>
    <w:p>
      <w:r>
        <w:t>Les recourants se plaignent de la violation de leur droit d'être entendus en ce que la Cour de justice a refusé d'administrer les moyens de preuve proposés. Il convient d'examiner en premier lieu ce grief d'ordre formel ( ATF 132 V 387 consid. 5.1 p. 390).</w:t>
      </w:r>
    </w:p>
    <w:p>
      <w:r>
        <w:rPr>
          <w:b/>
        </w:rPr>
        <w:t>E. 2.1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 En droit fiscal, le principe de l' art. 8 CC s'exprime dans le sens où il appartient à l'autorité de démontrer l'existence d'éléments créant ou augmentant la charge fiscale, alors que le contribuable supporte le fardeau de la preuve des éléments qui réduisent ou éteignent son obligation fiscale (cf. ATF 133 II 153 consid. 4.3 p. 158; arrêt 2C_649/2012 du 23 octobre 2012 consid. 5.2, in SJ 2013 I p. 199).</w:t>
      </w:r>
    </w:p>
    <w:p>
      <w:r>
        <w:rPr>
          <w:b/>
        </w:rPr>
        <w:t>E. 2.2</w:t>
      </w:r>
    </w:p>
    <w:p>
      <w:r>
        <w:t>En l'espèce, les recourants demandaient l'audition de l'employée de A.X.________ et d'un représentant de l'employeur de celui-ci. Ils voulaient démontrer qu'une collaboratrice était nécessaire à la pratique de la profession d'inspecteur d'assurance et que les frais en découlant n'étaient pas pris en charge par la compagnie d'assurance pour laquelle travaillait B.X.________. La Cour de justice a considéré que les recourants ne prétendaient pas que les auditions sollicitées auraient apporté des éléments factuels nouveaux et pertinents et a renoncé à auditionner les témoins proposés. Elle a rejeté le recours des époux X.________ en considérant que ceux-ci n'avaient produit aucune pièce permettant de retenir que l'organisation de l'activité professionnelle du recourant 1, c'est-à-dire l'utilisation de locaux professionnels et le recours aux services d'une employée, n'était pas seulement utile mais imposée par l'exercice de son activité d'inspecteur d'assurance, et, dans cette hypothèse, que son employeur ne prenait pas en charge les frais en découlant. La Cour de justice a en outre rappelé que selon l' art. 327a CO , l'employeur doit rembourser au travailler tous les frais nécessaires pour l'exécution de son travail.</w:t>
      </w:r>
    </w:p>
    <w:p>
      <w:r>
        <w:rPr>
          <w:b/>
        </w:rPr>
        <w:t>E. 2.3</w:t>
      </w:r>
    </w:p>
    <w:p>
      <w:r>
        <w:t>Comme le fait à prouver est un fait qui a pour conséquence de réduire l'obligation fiscale des recourants, c'est à ces derniers qu'il appartient d'en apporter la preuve (cf. consid. 2.1 ci-dessus). Ceux-ci ont valablement proposé l'audition de deux témoins. Dire, comme le fait la Cour de justice, que les recourants n'ont pas prétendu que les auditions seraient pertinentes pour l'issue du litige et qu'elles ne feraient que confirmer des faits déjà connus est en contradiction avec la motivation conduisant au rejet du recours. L'audition de l'employée du recourant 1 aurait permis à la Cour de justice de statuer en ayant exactement connaissance des tâches effectuées par cette collaboratrice. Les juges cantonaux auraient en particulier pu juger du caractère nécessaire de ces tâches. Par ailleurs, l'audition de l'employeur du recourant 1 aurait quant à elle donné la possibilité à la Cour de justice de savoir précisément dans quelle mesure les frais imposés par l'exécution du travail de A.X.________ étaient remboursés, cas échéant, si le surplus de frais devait être considéré comme nécessaire. Ces éléments sont importants et il n'est pas possible de les ignorer lors de l'établissement des faits. La Cour de justice aurait dû les prendre en compte lorsqu'elle a statué sur le caractère nécessaire des dépenses annoncées par les recourants. Certes, elle cite l' art. 327a CO . Cette disposition n'institue toutefois qu'une présomption qu'il est possible de renverser (cf. arrêt 2C_326/2008 du 23 septembre 2008 consid. 4.2; Philip Funk, Der Begriff der Gewinnungskosten nach Schweizerischem Einkommenssteuerrecht, 1989, p. 80). En refusant de manière anticipée de tels moyens au motif qu'ils n'étaient pas susceptibles de modifier le résultat de l'administration des preuves, la Cour de justice est tombée dans l'arbitraire du moment qu'aucun autre moyen de preuve n'est disponible pour statuer sur le caractère nécessaire des frais professionnels du recourant 1.</w:t>
      </w:r>
    </w:p>
    <w:p>
      <w:r>
        <w:rPr>
          <w:b/>
        </w:rPr>
        <w:t>E. 2.4</w:t>
      </w:r>
    </w:p>
    <w:p>
      <w:r>
        <w:t>En résumé, la Cour de justice ne pouvait tout à la fois retenir une présomption de fait contre les recourants, mettre à leur charge la preuve du fait consistant à établir que les frais professionnels effectifs du recourant 1 étaient plus élevés que la déduction forfaitaire accordée et les priver de tout moyen de preuve pour établir leur situation réelle. Ce faisant, la Cour de justice a violé le droit d'être entendus des recourants en ce qu'il confère le droit de faire administrer des preuves pertinentes et prohibe l'arbitraire dans l'appréciation anticipée des preuves. Ces vices ne peuvent pas être guéris devant le Tribunal fédéral. Le recours, tant en matière d'IFD que d'ICC, est par conséquent admis pour ce motif, sans qu'il soit nécessaire d'examiner les autres griefs soulevés par les recourants.</w:t>
      </w:r>
    </w:p>
    <w:p>
      <w:r>
        <w:rPr>
          <w:b/>
        </w:rPr>
        <w:t>E. 3</w:t>
      </w:r>
    </w:p>
    <w:p>
      <w:r>
        <w:t>Les considérants qui précèdent conduisent à l'admission du recours en matière de droit public et à l'annulation de l'arrêt attaqué. La cause est renvoyée à la Cour de justice pour nouvelle décision au sens des considérants. Il n'est pas perçu de frais pour la procédure devant le Tribunal fédéral ( art. 66 al. 4 LTF ). Ayant obtenu gain de cause avec l'aide d'un mandataire professionnel, les recourants ont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