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936/2014 vom 13. Oktober 2014</w:t>
      </w:r>
    </w:p>
    <w:p>
      <w:r>
        <w:t>Bundesgericht, 2014-10-13, FR</w:t>
      </w:r>
    </w:p>
    <w:p>
      <w:r>
        <w:rPr>
          <w:b/>
        </w:rPr>
        <w:t xml:space="preserve">Quelle: </w:t>
      </w:r>
      <w:r>
        <w:t>https://mcp.opencaselaw.ch/entscheid/bger_2C_936_2014</w:t>
      </w:r>
    </w:p>
    <w:p>
      <w:r>
        <w:t>FR: TF 2C 936/2014 du 13 octobre 2014</w:t>
      </w:r>
    </w:p>
    <w:p>
      <w:r>
        <w:t>IT: TF 2C 936/2014 del 13 ottobre 2014</w:t>
      </w:r>
    </w:p>
    <w:p>
      <w:pPr>
        <w:pStyle w:val="Heading2"/>
      </w:pPr>
      <w:r>
        <w:t>Regeste</w:t>
      </w:r>
    </w:p>
    <w:p>
      <w:r>
        <w:t>Autorisation de séjour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26 août 2014, le Tribunal cantonal du canton de Fribourg a rejeté le recours que B.X.________, né en 1984, a déposé contre la décision du 9 octobre 2012 du Service cantonal de la population révoquant son autorisation d'établissement.</w:t>
      </w:r>
    </w:p>
    <w:p>
      <w:r>
        <w:rPr>
          <w:b/>
        </w:rPr>
        <w:t>E. 2</w:t>
      </w:r>
    </w:p>
    <w:p>
      <w:r>
        <w:t>Par courrier posté le 26 septembre 2014 à l'adresse du Tribunal fédéral ainsi qu'à d'autres destinataires, A.X.________, père de B.X.________, demande de revoir l'arrêt rendu le 26 août 2014.</w:t>
      </w:r>
    </w:p>
    <w:p>
      <w:r>
        <w:rPr>
          <w:b/>
        </w:rPr>
        <w:t>E. 3</w:t>
      </w:r>
    </w:p>
    <w:p>
      <w:r>
        <w:t>Aux termes de l' art. 89 al. 1 LTF , a qualité pour former un recours en matière de droit public quiconque a pris part à la procédure devant l'autorité précédente ou a été privé de la possibilité de le faire, est particulièrement atteint par la décision ou l'acte normatif attaqué et a un intérêt digne de protection à son annulation ou à sa modification. En l'espèce, A.X.________ n'a pas pris part à la procédure de recours devant le Tribunal cantonal. Il n'a donc pas qualité pour recourir en son nom contre l'arrêt du 26 août 2014. Son écriture est par conséquent irrecevable.</w:t>
      </w:r>
    </w:p>
    <w:p>
      <w:r>
        <w:rPr>
          <w:b/>
        </w:rPr>
        <w:t>E. 4</w:t>
      </w:r>
    </w:p>
    <w:p>
      <w:r>
        <w:t>Le recours est ainsi manifestement irrecevable ( art. 108 al. 1 let. b LTF ) et doit être traité selon la procédure simplifiée de l' art. 108 LTF , sans qu'il y ait lieu d'ordonner un échange d'écritures. Il se justifie de ne pas percevoir de frais justice ( art. 66 al. 1 LTF ). Il n'est pas alloué de dépens ( art. 68 al.1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