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2C_935/2022 vom 24. November 2022</w:t>
      </w:r>
    </w:p>
    <w:p>
      <w:r>
        <w:t>Bundesgericht, 2022-11-24, IT</w:t>
      </w:r>
    </w:p>
    <w:p>
      <w:r>
        <w:rPr>
          <w:b/>
        </w:rPr>
        <w:t xml:space="preserve">Quelle: </w:t>
      </w:r>
      <w:r>
        <w:t>https://mcp.opencaselaw.ch/entscheid/bger_2C_935_2022</w:t>
      </w:r>
    </w:p>
    <w:p>
      <w:r>
        <w:t>FR: TF 2C_935/2022 du 24 novembre 2022</w:t>
      </w:r>
    </w:p>
    <w:p>
      <w:r>
        <w:t>IT: TF 2C_935/2022 del 24 novembre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[C.________]". L'autorità italiana ha inoltre affermato di essere in possesso di una copia di una lettera inviata dalla C.________ SA (cui è subentrata nel 2016 la D.________ AG; di seguito: la C.________/D.________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o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C.________/D.________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w:t>
      </w:r>
    </w:p>
    <w:p>
      <w:r>
        <w:rPr>
          <w:b/>
        </w:rPr>
        <w:t>E. 1.4</w:t>
      </w:r>
    </w:p>
    <w:p>
      <w:r>
        <w:t>Con decisione finale del 4 maggio 2020, l'AFC ha accolto la domanda raggruppata di assistenza amministrativa in materia fiscale formulata dall'autorità richiedente il 23 novembre 2018 relativamente ad A.A.________ e B.A.________, i quali, nel periodo oggetto della domanda, erano titolari di un conto cointestato presso la C.________/D.________.</w:t>
      </w:r>
    </w:p>
    <w:p>
      <w:r>
        <w:t>Il 3 giugno 2020, gli interessati hanno interposto ricorso al Tribunale amministrativo federale, opponendosi all'esecuzione della domanda in questione. Con sentenza del 31 ottobre 2022, tale autorità ha respinto il ricorso.</w:t>
      </w:r>
    </w:p>
    <w:p>
      <w:r>
        <w:rPr>
          <w:b/>
        </w:rPr>
        <w:t>E. 1.5</w:t>
      </w:r>
    </w:p>
    <w:p>
      <w:r>
        <w:t>Il 18 novembre 2022, A.A.________ e B.A.________ hanno inoltrato dinanzi al Tribunale federale un "ricorso di diritto pubblico" con cui domandano, protestate tasse, spese e ripetibili, (implicitamente) l'annullamento della sentenza del Tribunale amministrativo federale del 31 ottobre 2022, chiedendo che i loro dati non vengano trasmessi "fino a quando l'autorità italiana non escluderà la Svizzera dalla lista nera e non faciliterà l'accesso al mercato agli istituti finanziari svizzeri". In via subordinata, i ricorrenti chiedono il rinvio degli atti all'autorità precedente per nuova decisione. Gli interessati hanno inoltre chiesto che sia "mantenuto l'effetto sospensivo" al ricorso, riferendosi all'art. 103 cpv. 2 lett. d LTF.</w:t>
      </w:r>
    </w:p>
    <w:p>
      <w:r>
        <w:t>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sentenze 2C_838/2022 del 25 ottobre 2022 consid. 2;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2C_838/2022 del 25 ottobre 2022 consid. 2; 2C_936/2021 del 2 dicembre 2021 consid. 3).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2C_838/2022 del 25 ottobre 2022 consid. 2; 2C_77/2022 del 4 febbraio 2022 consid. 2),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2C_433/2022 del 1° giugno 2022 consid. 4; 2C_936/2021 del 2 dicembre 2021 consid. 5).</w:t>
      </w:r>
    </w:p>
    <w:p>
      <w:r>
        <w:rPr>
          <w:b/>
        </w:rPr>
        <w:t>E. 3</w:t>
      </w:r>
    </w:p>
    <w:p>
      <w:r>
        <w:t>I ricorrenti sostengono che sarebbe di importanza fondamentale (cfr. art. 84a LTF ) la questione della "validità" del Protocollo del 23 febbraio 2015 (RU 2016 2769) di modifica alla Convenzione del 9 marzo 1976 tra la Confederazione Svizzera e la Repubblica Italiana per evitare le doppie imposizioni e per regolare talune altre questioni in materia di imposte sul reddito e sul patrimonio (CDI CH-IT; RS 0.672.945.41). A mente degli insorgenti, dal momento che la Repubblica Italiana non avrebbe rispettato gli impegni presi contestualmente al Protocollo in questione (in particolare la rimozione della Svizzera dalla "black list" fiscale italiana), la Confederazione Svizzera dovrebbe "sospendere il Protocollo fino a quando l'Italia non garantirà l'esecuzione dei suoi obblighi" (ricorso, pag. 3).</w:t>
      </w:r>
    </w:p>
    <w:p>
      <w:r>
        <w:t>L'ammissibilità di principio della domanda raggruppata del 23 novembre 2018 sotto l'angolo dell'art. 27 CDI CH-IT e della lett. e bis del Protocollo aggiuntivo alla CDI CH-IT (nella versione modificata il 23 febbraio 2015), nonché, di riflesso, la validità del suddetto Protocollo, sono già state esaminate nel dettaglio dal Tribunale federale nella sentenza di principio 2C_73/2021 del 27 dicembre 2021. La questione della buona fede dello Stato richiedente è stata trattata al consid. 7 della sentenza in parola e i ricorrenti non sollevano una questione nuova in quest'ottica. La problematica non costituisce dunque una questione specifica che si pone per la prima volta e richiede in maniera impellente un chiarimento, ma essa rappresenta unicamente un caso di applicazione della giurisprudenza, sulla quale non occorre quindi ritornare sotto l'angolo dell' art. 84a LTF .</w:t>
      </w:r>
    </w:p>
    <w:p>
      <w:r>
        <w:rPr>
          <w:b/>
        </w:rPr>
        <w:t>E. 4</w:t>
      </w:r>
    </w:p>
    <w:p>
      <w:r>
        <w:t>Alla luce di quanto precede, l'entrata in materia sulla base dell' art. 84a LTF va esclusa, ciò che porta a dichiarare inammissibile il gravame in quanto ricorso in materia di diritto pubblico, in applicazione degli art. 107 cpv. 3 e 109 cpv. 1 LTF.</w:t>
      </w:r>
    </w:p>
    <w:p>
      <w:r>
        <w:t>Quanto alla via del ricorso sussidiario in materia costituzionale, dal momento che la sentenza impugnata emana dal Tribunale amministrativo federale, essa non entra in considerazione (art. 113 a contrario LTF).</w:t>
      </w:r>
    </w:p>
    <w:p>
      <w:r>
        <w:t>Dato l'esito del litigio, la domanda di effetto sospensivo - con la quale del resto i ricorrenti si limitano a chiedere quanto già previsto dall'art. 103 cpv. 2 lett. d LTF - è priva di oggetto (cfr. sentenze 2C_838/2022 del 25 ottobre 2022 consid. 5; 2C_550/2022 del 14 luglio 2022 consid. 3).</w:t>
      </w:r>
    </w:p>
    <w:p>
      <w:r>
        <w:rPr>
          <w:b/>
        </w:rPr>
        <w:t>E. 5</w:t>
      </w:r>
    </w:p>
    <w:p>
      <w:r>
        <w:t>Le spese giudiziarie seguono la soccombenza e sono poste a carico dei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