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2C_932/2010 vom 24. Mai 2011</w:t>
      </w:r>
    </w:p>
    <w:p>
      <w:r>
        <w:t>Bundesgericht, 2011-05-24, FR</w:t>
      </w:r>
    </w:p>
    <w:p>
      <w:r>
        <w:rPr>
          <w:b/>
        </w:rPr>
        <w:t xml:space="preserve">Quelle: </w:t>
      </w:r>
      <w:r>
        <w:t>https://mcp.opencaselaw.ch/entscheid/bger_2C_932_2010</w:t>
      </w:r>
    </w:p>
    <w:p>
      <w:r>
        <w:t>FR: TF 2C_932/2010 du 24 mai 2011</w:t>
      </w:r>
    </w:p>
    <w:p>
      <w:r>
        <w:t>IT: TF 2C_932/2010 del 24 maggio 2011</w:t>
      </w:r>
    </w:p>
    <w:p>
      <w:pPr>
        <w:pStyle w:val="Heading2"/>
      </w:pPr>
      <w:r>
        <w:t>Erwägungen</w:t>
      </w:r>
    </w:p>
    <w:p>
      <w:r>
        <w:rPr>
          <w:b/>
        </w:rPr>
        <w:t>E. 1.1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w:t>
      </w:r>
    </w:p>
    <w:p>
      <w:r>
        <w:t>En principe, le conjoint d'un ressortissant de la Communauté européenne ayant un droit de séjour en Suisse dispose, en vertu des art. 7 let . d de l'accord du 21 juin 1999 entre la Confédération suisse, d'une part, et la Communauté européenne et ses Etats membres, d'autre part, sur la libre circulation des personnes (ALCP; RS 0.142.112.681) et 3 par. 1 et 2 annexe I ALCP, d'un droit (dérivé) à une autorisation de séjour en Suisse pendant toute la durée formelle de son mariage. Le recourant étant marié à une Française titulaire d'une autorisation d'établissement en Suisse, il a potentiellement droit à une autorisation de séjour, de sorte que le présent recours est recevable au regard de l' art. 83 let . c ch. 2 LTF. La voie du recours en matière de droit public est donc ouverte et le recours constitutionnel subsidiaire, partant, irrecevable.</w:t>
      </w:r>
    </w:p>
    <w:p>
      <w:r>
        <w:rPr>
          <w:b/>
        </w:rPr>
        <w:t>E. 1.3</w:t>
      </w:r>
    </w:p>
    <w:p>
      <w:r>
        <w:t>Les autres conditions de recevabilité étant réunies, il y a lieu d'entrer en matière, sous réserve des exigences de motivation du recours (cf. consid. 5 ci-après).</w:t>
      </w:r>
    </w:p>
    <w:p>
      <w:r>
        <w:rPr>
          <w:b/>
        </w:rPr>
        <w:t>E. 2.1</w:t>
      </w:r>
    </w:p>
    <w:p>
      <w:r>
        <w:t>Dans un grief formel de violation de son droit d'être entendu ( art. 29 al. 2 Cst. et art. 27 al. 2 de la Constitution du Canton de Vaud du 14 avril 2003 [Cst-VD; RS/VD 101.01]) et de l'interdiction de l'arbitraire ( art. 9 Cst. et art. 9 Cst -VD), qu'il convient d'examiner en premier lieu, le recourant reproche à l'autorité précédente d'avoir rejeté sa requête tendant à l'audition comme témoin de son défenseur lors du procès tenu à Lisbonne. Il fait valoir que c'est sur le conseil de ce dernier qu'il a "pris sur lui" d'avoir importé la cocaïne au Portugal, alors qu'il pensait transporter des documents confidentiels. Selon son avocat, cette stratégie devait permettre d'obtenir la libération de son amie de l'époque, qui avait été arrêtée avec lui; en ce qui le concernait, elle devait conduire au prononcé d'une peine nettement moins sévère que les douze ans dont il était passible pour ce genre d'infraction.</w:t>
      </w:r>
    </w:p>
    <w:p>
      <w:r>
        <w:rPr>
          <w:b/>
        </w:rPr>
        <w:t>E. 2.2</w:t>
      </w:r>
    </w:p>
    <w:p>
      <w:r>
        <w:t>Il n'est ni allégué ni démontré que l' art. 27 al. 2 Cst -VD aurait une portée plus large que l' art. 29 al. 2 Cst. , de sorte que le grief de violation du droit d'être entendu doit être examiné exclusivement à la lumière de cette dernière disposition. Quant au grief d'arbitraire, il se confond, en l'occurrence, avec le précédent.</w:t>
      </w:r>
    </w:p>
    <w:p>
      <w:r>
        <w:t>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 droit cantonal ( ATF 134 I 140 consid. 5.3 p. 148; 119 Ib 492 consid. 5b/bb p. 505). Cette garantie constitutionnelle n'empêche du reste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s.).</w:t>
      </w:r>
    </w:p>
    <w:p>
      <w:r>
        <w:rPr>
          <w:b/>
        </w:rPr>
        <w:t>E. 2.3</w:t>
      </w:r>
    </w:p>
    <w:p>
      <w:r>
        <w:t>Sous réserve d'exceptions non réalisées en l'espèce, les autorités suisses de police des étrangers prennent en considération les condamnations prononcées à l'étranger (cf. arrêt 2C_427/2008 du 23 janvier 2009 consid. 3.1). L'infraction en question ayant fait l'objet d'un jugement portugais entré en force et exécuté, l'autorité précédente pouvait la retenir en fait, ainsi que la peine prononcée à l'encontre du recourant. Elle pouvait sans arbitraire renoncer à entendre, par voie de commission rogatoire, son défenseur, ce d'autant que celui-ci avait établi une déclaration datée du 19 mai 2010 et versée au dossier de la cause. Partant, le grief de violation du droit d'être entendu est mal fondé (cf. arrêt 2C_427/2008, précité, consid. 3.1). En outre, il ne se justifie pas que le Tribunal de céans procède lui-même à la mesure d'instruction en question, comme le recourant le requiert.</w:t>
      </w:r>
    </w:p>
    <w:p>
      <w:r>
        <w:rPr>
          <w:b/>
        </w:rPr>
        <w:t>E. 3</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présente loi prévoit des dispositions plus favorables.</w:t>
      </w:r>
    </w:p>
    <w:p>
      <w:r>
        <w:t>Selon l'art. 3 al. 1 de l'annexe I ALCP, les membres de la famille d'une personne ressortissante d'une partie contractante ayant un droit de séjour ont le droit de s'installer avec elle. Cela vaut notamment pour son conjoint, quelle que soit sa nationalité (art. 3 par. 2 let. a annexe I ALCP).</w:t>
      </w:r>
    </w:p>
    <w:p>
      <w:r>
        <w:t>D'après l' art. 5 par. 1 annexe I ALCP ,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 art. 5 par. 2 annexe I ALCP (arrêt 2C_547/2010 du 10 décembre 2010 consid. 3).</w:t>
      </w:r>
    </w:p>
    <w:p>
      <w:r>
        <w:t>Dans de nombreux arrêts, le Tribunal fédéral, se fondant en particulier sur les principes dégagés par la jurisprudence de la Cour de justice des Communautés européennes (CJCE), a précisé que la notion d'ordre public permettant de restreindre la liberté de circulation suppose l'existence d'une menace réelle et d'une certaine gravité affectant un intérêt fondamental de la société. L'évaluation de cette menace doit se fonder exclusivement sur le comportement personnel de celui qui en fait l'objet, et non sur des motifs de prévention générale détachés du cas individuel. La seule existence de condamnations pénales (antérieures)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 ATF 130 II 176 consid. 3.4.1 p. 183 s.).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 et les références; cf. aussi arrêt 2C_547/2010, précité, consid. 3).</w:t>
      </w:r>
    </w:p>
    <w:p>
      <w:r>
        <w:t>En outre, comme lorsqu'il y a lieu d'examiner la conformité d'une mesure d'éloignement prise à l'encontre de n'importe quel autre étranger, cette appréciation se fera dans le respect du principe de la proportionnalité. Il s'agira donc de procéder à une pesée des intérêts en prenant en considération la situation personnelle de l'intéressé ( ATF 130 II 176 consid. 3.4.2 p. 184, 493 consid. 3.3 p. 500 et les références).</w:t>
      </w:r>
    </w:p>
    <w:p>
      <w:r>
        <w:rPr>
          <w:b/>
        </w:rPr>
        <w:t>E. 4.1</w:t>
      </w:r>
    </w:p>
    <w:p>
      <w:r>
        <w:t>Le recourant a été condamné au Portugal en 2001 à une peine de six ans de réclusion pour avoir importé dans ce pays près de 2 kg de cocaïne. En droit suisse, de tels faits sont constitutifs d'une infraction grave à l'art. 19 de la loi fédérale du 3 octobre 1951 sur les stupéfiants et les substances psychotropes (loi sur les stupéfiants, LStup; RS 812.121), étant précisé qu'il y a cas grave à partir du moment où le trafic porte sur 18 g de cocaïne pure ( ATF 122 IV 360 consid. 2a p. 363; arrêt 6B_380/2008 du 4 août 2008 consid. 6.2.2). Il s'agit d'un domaine dans lequel le Tribunal fédéral se montre particulièrement rigoureux. Dans une jurisprudence constante, il a en effet jugé que la protection de la collectivité publique face au développement du marché de la drogue présentait un intérêt public prépondérant justifiant l'éloignement d'un étranger s'étant rendu coupable d'infraction grave à la législation sur les stupéfiants et que les étrangers mêlés au commerce de la drogue devaient donc s'attendre à faire l'objet de mesures d'éloignement (cf. p. ex. arrêts 2C_325/2010 du 11 octobre 2010 consid. 5.2.3 et 2C_222/2010 du 29 juillet 2010 consid. 7.2). En outre, la peine infligée au recourant dépasse de loin la limite d'une année à partir de laquelle une peine privative de liberté est considérée comme de longue durée ( ATF 135 II 377 consid. 4.2 p. 381) et peut justifier la révocation d'une autorisation de police des étrangers en vertu de l'art. 62 let. b LEtr. Elle excède également de beaucoup la limite de deux ans à partir de laquelle la jurisprudence admet qu'un étranger qui n'a séjourné en Suisse que peu de temps ne peut en principe plus y bénéficier d'un titre de séjour, même si l'on ne peut que difficilement exiger de son épouse de nationalité suisse qu'elle quitte le pays (pratique "Reneja", qui demeure valable sous la LEtr: ATF 135 II 377 consid. 4.3 et 4.4 p. 381 ss).</w:t>
      </w:r>
    </w:p>
    <w:p>
      <w:r>
        <w:t>Selon les attestations émanant des autorités françaises, vénézuéliennes et dominicaines, produites par le Service de la population et le recourant, ce dernier n'a pas commis de récidive depuis sa libération conditionnelle en 2004.</w:t>
      </w:r>
    </w:p>
    <w:p>
      <w:r>
        <w:t>Le 5 février 2007, le recourant a toutefois signé le formulaire de rapport d'arrivée qui comportait une réponse négative à la question "L'étranger (de plus de 18 ans) a-t-il fait l'objet d'une condamnation en Suisse ou à l'étranger?". Lors de son audition par l'autorité précédente, il a exposé qu'il s'était rendu au Bureau communal des étrangers avec son épouse. Celle-ci avait rempli la formule, alors que lui se tenait en retrait. Son épouse ignorant à l'époque sa condamnation et son emprisonnement entre 2001 et 2004 au Portugal, elle avait de bonne foi répondu par la négative à la question précitée. Lui-même avait ensuite signé le formulaire sans le relire.</w:t>
      </w:r>
    </w:p>
    <w:p>
      <w:r>
        <w:t>Comme l'a relevé l'autorité précédente, il n'est pas crédible que le recourant se soit totalement désintéressé du formulaire que son épouse remplissait à son sujet, ce d'autant qu'immédiatement au dessus de l'endroit où il a apposé sa signature, il était mentionné en langue espagnole que le soussigné certifiait le caractère exact et complet de ses indications et prenait connaissance de ce que de fausses déclarations pouvaient entraîner la révocation de l'autorisation sollicitée. D'ailleurs, à supposer même qu'il ait signé la formule sans avoir en aucune manière pris connaissance de son contenu, il aurait, en agissant de la sorte, pris le risque de donner des informations inexactes ou incomplètes, surtout si, comme il le prétend, il avait tu sa condamnation et son emprisonnement à son épouse. Les fausses déclarations lui seraient par conséquent opposables aussi dans cette hypothèse. Or, même si, au regard de l'ALCP, faire de fausses déclarations ne constitue pas une cause de révocation de l'autorisation de séjour, contrairement à ce que prévoit le droit suisse à l'art. 62 let. a LEtr, cette attitude peut selon le contexte être prise en compte dans l'évaluation du comportement de l'intéressé. L'impact d'une fausse déclaration dépend de ce qu'on a voulu cacher. Suivant les circonstances, la dissimulation ainsi effectuée peut être considérée comme un indice en faveur de l'existence d'une menace actuelle et réelle pour l'ordre public (cf. arrêt 2C_908/2010 du 7 avril 2011 consid. 4.3). Or, en l'occurrence, le recourant a dissimulé des données essentielles, dont la connaissance était déterminante dans la procédure d'octroi d'une autorisation de séjour CE/AELE.</w:t>
      </w:r>
    </w:p>
    <w:p>
      <w:r>
        <w:t>Au vu de ce qui précède, le Tribunal cantonal a estimé à juste titre que le recourant constituait une menace réelle et actuelle pour l'ordre public suisse. Cette conclusion est conforme à la jurisprudence rappelée ci-dessus (consid. 4). Il reste à examiner si l'arrêt attaqué respecte le principe de la proportionnalité.</w:t>
      </w:r>
    </w:p>
    <w:p>
      <w:r>
        <w:rPr>
          <w:b/>
        </w:rPr>
        <w:t>E. 4.2</w:t>
      </w:r>
    </w:p>
    <w:p>
      <w:r>
        <w:t>Le recourant ne peut se prévaloir d'un long séjour en Suisse, puisqu'il ne s'y trouve que depuis le début 2007 et qu'au demeurant il a obtenu son titre de séjour en dissimulant ses antécédents pénaux. Par ailleurs, les circonstances qu'il invoque (not. le fait qu'il mène une nouvelle vie avec son épouse et leur enfant commun, ainsi que le poste de travail qu'il occupe à la satisfaction de son employeur) n'ont pas le caractère exceptionnel qu'il leur prête et ne sont pas de nature à faire prévaloir son intérêt privé à demeurer en Suisse sur l'intérêt public à son éloignement. Partant, la décision entreprise apparaît également conforme au principe de proportionnalité.</w:t>
      </w:r>
    </w:p>
    <w:p>
      <w:r>
        <w:rPr>
          <w:b/>
        </w:rPr>
        <w:t>E. 5</w:t>
      </w:r>
    </w:p>
    <w:p>
      <w:r>
        <w:t>Le recourant se prévaut encore de l' art. 8 CEDH , sans toutefois présenter aucune motivation à cet égard. Non conforme à l' art. 106 al. 2 LTF , le recours est sur ce point irrecevable.</w:t>
      </w:r>
    </w:p>
    <w:p>
      <w:r>
        <w:rPr>
          <w:b/>
        </w:rPr>
        <w:t>E. 6</w:t>
      </w:r>
    </w:p>
    <w:p>
      <w:r>
        <w:t>Au vu de ce qui précède, le recours en matière de droit public doit être rejeté dans la mesure où il est recevable.</w:t>
      </w:r>
    </w:p>
    <w:p>
      <w:r>
        <w:t>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