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2C_931/2011 vom 23. Februar 2012</w:t>
      </w:r>
    </w:p>
    <w:p>
      <w:r>
        <w:t>Bundesgericht, 2012-02-23, DE</w:t>
      </w:r>
    </w:p>
    <w:p>
      <w:r>
        <w:rPr>
          <w:b/>
        </w:rPr>
        <w:t xml:space="preserve">Quelle: </w:t>
      </w:r>
      <w:r>
        <w:t>https://mcp.opencaselaw.ch/entscheid/bger_2C_931_2011</w:t>
      </w:r>
    </w:p>
    <w:p>
      <w:r>
        <w:t>FR: TF 2C_931/2011 du 23 février 2012</w:t>
      </w:r>
    </w:p>
    <w:p>
      <w:r>
        <w:t>IT: TF 2C_931/2011 del 23 febbraio 2012</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w:t>
      </w:r>
    </w:p>
    <w:p>
      <w:r>
        <w:t>Der Beschwerdeführer macht geltend, nach dem Scheitern seiner Ehe bestünden Gründe im Sinne von Art. 50 AuG, welche den aus der Ehe mit seiner Schweizer Gattin abgeleiteten Bewilligungsanspruch fortbestehen liessen. Auf die fristgerecht eingereichte Beschwerde ( Art. 100 Abs. 1 BGG ), zu welcher der Beschwerdeführer legitimiert ist ( Art. 89 Abs. 1 BGG ), ist somit einzutreten. Ob die entsprechenden Voraussetzungen gegeben sind, bildet Gegenstand der materiellen Beurteilung der Eingabe ( BGE 137 II 1 E. 2; Urteile 2C_460/2009 vom 4. November 2009 E. 2.1, nicht publ. in: BGE 136 II 1 ff. und 2C_304/2009 vom 9. Dezember 2009 E. 1.1, nicht publ. in: BGE 136 II 113 ff.).</w:t>
      </w:r>
    </w:p>
    <w:p>
      <w:r>
        <w:rPr>
          <w:b/>
        </w:rPr>
        <w:t>E. 1.2</w:t>
      </w:r>
    </w:p>
    <w:p>
      <w:r>
        <w:t>Das Bundesgericht legt seinem Urteil den von der Vorinstanz festgestellten Sachverhalt zugrunde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Offensichtlich unrichtig ist eine Sachverhaltsermittlung nicht schon dann, wenn sich Zweifel anmelden, sondern erst, wenn sie eindeutig und augenfällig unzutreffend ist ( BGE 133 II 249 E. 1.2.2 und E. 1.4.3 i.f. S. 252 bzw. 255 ; 132 I 42 E. 3.1 i.f. S. 44). Für die Sachverhaltsrügen gelten strenge Anforderungen ( BGE 134 II 244 E. 2.2 S. 246; 133 II 249 E. 1.4.3 S. 255): In Bezug auf Art. 97 Abs. 1 BGG ist in der Beschwerdeschrift darzulegen, inwiefern die Sachverhaltsfeststellung willkürlich bzw. unter Verletzung einer verfahrensrechtlichen Verfassungsvorschrift zustande gekommen ist. Andernfalls können Vorbringen mit Bezug auf einen Sachverhalt, der von den Feststellungen im angefochtenen Entscheid abweicht, nicht berücksichtigt werden ( BGE 135 II 313 E. 5.2.2 S. 322; 133 II 249 E. 1.4.3 S. 255). Dem Sachgericht steht zudem im Bereich der Beweiswürdigung ein erheblicher Ermessensspielraum zu. Das Bundesgericht greift auf Beschwerde hin nur ein, wenn dieses sein Ermessen missbraucht, insbesondere offensichtlich unhaltbare Schlüsse zieht, erhebliche Beweise übersieht oder solche willkürlich ausser Acht lässt ( BGE 129 I 8 E. 2.1 S. 9).</w:t>
      </w:r>
    </w:p>
    <w:p>
      <w:r>
        <w:rPr>
          <w:b/>
        </w:rPr>
        <w:t>E. 2.1</w:t>
      </w:r>
    </w:p>
    <w:p>
      <w:r>
        <w:t>Nach Auflösung der Ehe oder der Familiengemeinschaft hat der ausländische Ehegatte gemäss Art. 50 Abs. 1 AuG weiterhin einen Anspruch auf Verlängerung der Aufenthaltsbewilligung nach Art. 42 AuG, wenn (lit. a) die Ehegemeinschaft mindestens drei Jahre bestanden hat und eine erfolgreiche Integration besteht oder (lit. b) wichtige persönliche Gründe einen weiteren Aufenthalt in der Schweiz erforderlich machen.</w:t>
      </w:r>
    </w:p>
    <w:p>
      <w:r>
        <w:t>Eine relevante Ehegemeinschaft liegt vor, solange die eheliche Beziehung tatsächlich gelebt wird und ein gegenseitiger Ehewille besteht. Es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t>Ein persönlicher, nachehelicher Härtefall setzt aufgrund der gesamten Umstände des Einzelfalls eine erhebliche Intensität der Konsequenzen für das Privat- und Familienleben voraus, die mit der Lebenssituation nach dem Dahinfallen der gestützt auf Art. 42 Abs. 1 AuG abgeleiteten Anwesenheitsberechtigung verbunden sein muss ( BGE 137 II 345 E. 3.2.3 S. 349 f.; 137 II 1 E. 4 S. 7 ff.).</w:t>
      </w:r>
    </w:p>
    <w:p>
      <w:r>
        <w:rPr>
          <w:b/>
        </w:rPr>
        <w:t>E. 2.2.1</w:t>
      </w:r>
    </w:p>
    <w:p>
      <w:r>
        <w:t>Mit Bezug auf Art. 50 Abs. 1 lit. a AuG hat die Vorinstanz ihrem Entscheid in tatsächlicher Hinsicht zugrunde gelegt, dass die Ehegemeinschaft zwischen dem Beschwerdeführer und seiner Frau ab Dezember 2007 aufgelöst gewesen ist und somit weniger als drei Jahre bestanden hat.</w:t>
      </w:r>
    </w:p>
    <w:p>
      <w:r>
        <w:t>Mit dem Migrationsamt und dem Regierungsrat ist das Verwaltungsgericht in der Tat davon ausgegangen, dass die Ehefrau im November 2007 entschieden habe, nicht mehr in die Schweiz zurückzukehren, um bei ihrem Partner im Land B.________ zu verbleiben.</w:t>
      </w:r>
    </w:p>
    <w:p>
      <w:r>
        <w:rPr>
          <w:b/>
        </w:rPr>
        <w:t>E. 2.2.2</w:t>
      </w:r>
    </w:p>
    <w:p>
      <w:r>
        <w:t>Der Beschwerdeführer wirft in diesem Zusammenhang dem Verwaltungsgericht eine offensichtlich unrichtige und damit willkürliche Feststellung des Sachverhalts bzw. eine willkürliche Würdigung der Akten vor. Er beschränkt sich indessen darauf, seine Sicht der Dinge zu schildern und sie derjenigen der letzten kantonalen Instanz gegenüberzustellen.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 Dass und inwiefern dies hier der Fall wäre, legt der Beschwerdeführer nicht dar.</w:t>
      </w:r>
    </w:p>
    <w:p>
      <w:r>
        <w:t>Im Übrigen - indem er behauptet, seine Sachverhaltsdarstellung sei nicht widerlegt worden - übersieht der Beschwerdeführer, dass ihn nach Art. 90 AuG eine Mitwirkungspflicht trifft; diese wird namentlich für die Angaben über die für die Regelung des Aufenthalts wesentlichen Tatsachen besonders hervorgehoben (lit. a). Die Last, bei der Feststellung des Sachverhalts die für den Beschwerdeführer relevanten Unterlagen beizubringen, traf deshalb vor allem ihn (Urteil 2C_531/2011 vom 19. Dezember 2011 E. 2.1.2).</w:t>
      </w:r>
    </w:p>
    <w:p>
      <w:r>
        <w:rPr>
          <w:b/>
        </w:rPr>
        <w:t>E. 2.2.3</w:t>
      </w:r>
    </w:p>
    <w:p>
      <w:r>
        <w:t>Gemäss den für das Bundesgericht verbindlichen Feststellungen der Vorinstanz ( Art. 105 Abs. 1 BGG ; vgl. vorne E. 1.2), steht dem Beschwerdeführer somit gestützt auf Art. 50 Abs. 1 lit. a AuG kein Anspruch auf Verlängerung seiner Aufenthaltsbewilligung zu. Ob er in der Schweiz erfolgreich integriert ist, spielt insoweit keine Rolle mehr (Urteil 2C_635/2009 vom 26. März 2010 E. 5.2).</w:t>
      </w:r>
    </w:p>
    <w:p>
      <w:r>
        <w:rPr>
          <w:b/>
        </w:rPr>
        <w:t>E. 2.3</w:t>
      </w:r>
    </w:p>
    <w:p>
      <w:r>
        <w:t>Entgegen seiner Kritik, sind gleichzeitig auch keine wichtigen persönlichen Gründe ersichtlich, die einen weiteren Aufenthalt des Beschwerdeführers in der Schweiz erforderlich machen (Art. 50 Abs. 1 lit. b i.V.m. Abs. 2 AuG).</w:t>
      </w:r>
    </w:p>
    <w:p>
      <w:r>
        <w:rPr>
          <w:b/>
        </w:rPr>
        <w:t>E. 2.3.1</w:t>
      </w:r>
    </w:p>
    <w:p>
      <w:r>
        <w:t>Der Beschwerdeführer reiste erst mit 26 Jahren in die Schweiz ein, von seinem rund achtjährigen Aufenthalt in der Schweiz entfallen aber bloss etwa 28 Monate auf den Bestand der Ehegemeinschaft (vgl. vorne E. 2.2.1). Vor der Eheschliessung verfügte er nur über eine Aufenthaltsbewilligung zum Zwecke der Aus- und Weiterbildung, die für einen vorübergehenden Aufenthalt gedacht ist; seit der Ablehnung der Verlängerung seiner Aufenthaltsbewilligung, mit Verfügung vom 25. Februar 2010 des Migrationsamts des Kantons Zürich, ist sein Aufenthalt lediglich toleriert ( BGE 137 II 10 E. 4.4. S. 13). Vor seiner Einreise lebte er in Bangladesch, wo nach den verbindlichen Feststellungen der Vorinstanzen ( Art. 105 Abs. 1 und 2 BGG ) ein Teil seiner Verwandten immer noch wohnt. Die Ehe mit Y.________ ist kinderlos geblieben, und er macht nicht geltend, Verwandte in der Schweiz zu haben.</w:t>
      </w:r>
    </w:p>
    <w:p>
      <w:r>
        <w:rPr>
          <w:b/>
        </w:rPr>
        <w:t>E. 2.3.2</w:t>
      </w:r>
    </w:p>
    <w:p>
      <w:r>
        <w:t>Es kann auch nicht gesagt werden, dass seine Lebensbedingungen bei einer Rückkehr nach Bangladesch gemessen am durchschnittlichen Schicksal ausländischer Staatsangehöriger in gesteigertem Masse infrage gestellt wären. Der Beschwerdeführer beruft sich zwar auf sozial unsichere Verhältnisse im Heimatland, belegt eine konkrete Gefährdung bei einer Rückkehr aber nicht (Urteil 2C_896/2010 vom 9. August 2011 E. 3.2).</w:t>
      </w:r>
    </w:p>
    <w:p>
      <w:r>
        <w:rPr>
          <w:b/>
        </w:rPr>
        <w:t>E. 2.4</w:t>
      </w:r>
    </w:p>
    <w:p>
      <w:r>
        <w:t>Zusammenfassend ergibt sich, dass der Beschwerdeführer weder nach Art. 50 Abs. 1 lit. a noch gestützt auf Art. 50 Abs. 1 lit. b AuG einen Anspruch auf eine Aufenthaltsbewilligung hat.</w:t>
      </w:r>
    </w:p>
    <w:p>
      <w:r>
        <w:rPr>
          <w:b/>
        </w:rPr>
        <w:t>E. 3.1</w:t>
      </w:r>
    </w:p>
    <w:p>
      <w:r>
        <w:t>Soweit darauf eingetreten werden kann, ist die Beschwerde deshalb abzuweisen. Für alles Weitere kann auf die zutreffenden Ausführungen in den Entscheiden des Regierungsrats bzw. des Verwaltungsgerichts des Kantons Zürich verwiesen werden ( Art. 109 Abs. 3 BGG ).</w:t>
      </w:r>
    </w:p>
    <w:p>
      <w:r>
        <w:rPr>
          <w:b/>
        </w:rPr>
        <w:t>E. 3.2</w:t>
      </w:r>
    </w:p>
    <w:p>
      <w:r>
        <w:t>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