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2C_930/2021 vom 1. Dezember 2021</w:t>
      </w:r>
    </w:p>
    <w:p>
      <w:r>
        <w:t>Bundesgericht, 2021-12-01, FR</w:t>
      </w:r>
    </w:p>
    <w:p>
      <w:r>
        <w:rPr>
          <w:b/>
        </w:rPr>
        <w:t xml:space="preserve">Quelle: </w:t>
      </w:r>
      <w:r>
        <w:t>https://mcp.opencaselaw.ch/entscheid/bger_2C_930_2021</w:t>
      </w:r>
    </w:p>
    <w:p>
      <w:r>
        <w:t>FR: TF 2C_930/2021 du 1 décembre 2021</w:t>
      </w:r>
    </w:p>
    <w:p>
      <w:r>
        <w:t>IT: TF 2C_930/2021 del 1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12 mai 2020 notifiée à A.________, a accordé l'assistance administrative requise. A sa demande, l'Administration fédérale lui a transmis l'intégralité des pièces du dossier le 8 juin 2020.</w:t>
      </w:r>
    </w:p>
    <w:p>
      <w:r>
        <w:t>Par arrêt du 27 octobre 2021, le Tribunal administratif fédéral, après avoir rejeté la demande de suspension de la procédure pour autant qu'elle ne soit pas sans objet, a rejeté le recours que A.________ avait formé contre la décision finale du 12 mai 2020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27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deux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 recourant a donc déjà reçu une réponse.</w:t>
      </w:r>
    </w:p>
    <w:p>
      <w:r>
        <w:rPr>
          <w:b/>
        </w:rPr>
        <w:t>E. 4.2</w:t>
      </w:r>
    </w:p>
    <w:p>
      <w:r>
        <w:t>Le recourant fait ensuite valoir que la présente cause soulève la question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 soutenait, le contenu des pièces qu'il prétend ne pas avoir pu consulter ressortait explicitement de la décision finale du 12 mai 2020 de l'Administration fédérale. Dès lors, il n'était pas déterminant de savoir si ces éléments figuraient également dans d'autres documents qui auraient été soustraits à l'appréciation du recourant. Au demeurant, dans son arrêt 2C_320/2021 du 30 avril 2021 consid. 4.2, le Tribunal fédéral a aussi retenu que la demande d'assistance administrative litigieuse se fondait sur les données trouvées lors des perquisitions effectuées dans les succursales allemandes de la banque UBS, qui avaient été communiquées à la France selon une procédure légale, en application de la Directive 2011/16/UE.</w:t>
      </w:r>
    </w:p>
    <w:p>
      <w:r>
        <w:rPr>
          <w:b/>
        </w:rPr>
        <w:t>E. 5.2</w:t>
      </w:r>
    </w:p>
    <w:p>
      <w:r>
        <w:t>Dans son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7</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