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2C_930/2016 vom 20. März 2017</w:t>
      </w:r>
    </w:p>
    <w:p>
      <w:r>
        <w:t>Bundesgericht, 2017-03-20, DE</w:t>
      </w:r>
    </w:p>
    <w:p>
      <w:r>
        <w:rPr>
          <w:b/>
        </w:rPr>
        <w:t xml:space="preserve">Quelle: </w:t>
      </w:r>
      <w:r>
        <w:t>https://mcp.opencaselaw.ch/entscheid/bger_2C_930_2016</w:t>
      </w:r>
    </w:p>
    <w:p>
      <w:r>
        <w:t>FR: TF 2C_930/2016 du 20 mars 2017</w:t>
      </w:r>
    </w:p>
    <w:p>
      <w:r>
        <w:t>IT: TF 2C_930/2016 del 20 marzo 2017</w:t>
      </w:r>
    </w:p>
    <w:p>
      <w:pPr>
        <w:pStyle w:val="Heading2"/>
      </w:pPr>
      <w:r>
        <w:t>Erwägungen</w:t>
      </w:r>
    </w:p>
    <w:p>
      <w:r>
        <w:rPr>
          <w:b/>
        </w:rPr>
        <w:t>E. 1.1</w:t>
      </w:r>
    </w:p>
    <w:p>
      <w:r>
        <w:t>Die Beschwerde betrifft sowohl die kantonalen Steuern als auch die direkte Bundessteuer. Da sich die gleichen Sach- und Rechtsfragen stellen, rechtfertigt sich eine Vereinigung der Verfahren (vgl. Art. 71 BGG i.V.m. Art. 24 BZP [SR 273]; BGE 142 II 293 E. 1.2 S. 296).</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des hierzu legitimierten Beschwerdeführers ( Art. 89 Abs. 1 BGG ) ist - vorbehältlich der nachfolgenden Einschränkung (E. 2)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t>I. Direkte Bundessteuer 2014</w:t>
      </w:r>
    </w:p>
    <w:p>
      <w:r>
        <w:rPr>
          <w:b/>
        </w:rPr>
        <w:t>E. 2.1</w:t>
      </w:r>
    </w:p>
    <w:p>
      <w:r>
        <w:t>Hinsichtlich der direkten Bundessteuer 2014 ist die Vorinstanz auf die Beschwerde wegen versäumter Rechtsmittelfrist nicht eingetreten. Sie hat erwogen, die angefochtene Verfügung der Veranlagungsbehörde sei dem Beschwerdeführer unbestrittenermassen am 19. Februar 2016 zugestellt worden. Die Beschwerde (betreffend die direkte Bundessteuer) sei am 2. April 2016 und somit verspätet eingegangen. Gründe für eine Wiederherstellung der Frist seien vom Beschwerdeführer nicht geltend gemacht worden. Die gemäss ständiger bundesgerichtlicher Praxis als abschliessend bezeichnete Regelung im DBG sehe keine Gerichtsferien vor. Auch die Anwendung des kantonalen Rechts lasse keinen abweichenden Schluss zu. Zwar verweise § 58 Abs. 1 des auch in Steuersachen anwendbaren Solothurner Gesetzes vom 15. November 1970 über den Rechtsschutz in Verwaltungssachen (Verwaltungsrechtspflegegesetz; VRG/SO; BGS/SO 124.11) auf die ZPO (SR 272), welche in Art. 145 Abs. 1 bestimmt, dass die gesetzlichen und gerichtlichen Fristen vom siebten Tag vor Ostern bis und mit dem siebten Tag nach Ostern still stehen. Jedoch gelte gemäss § 58 Abs. 2 VRG/SO die ZPO nur insoweit, als keine Spezialgesetzgebung eine abweichende Regelung enthalte. Eine solche Spezialgesetzgebung liege für den Bereich der direkten Bundessteuer mit dem DBG vor, welches den Fristenlauf abschliessend und ohne das Gewähren eines Fristenstillstandes regle.</w:t>
      </w:r>
    </w:p>
    <w:p>
      <w:r>
        <w:rPr>
          <w:b/>
        </w:rPr>
        <w:t>E. 2.2</w:t>
      </w:r>
    </w:p>
    <w:p>
      <w:r>
        <w:t>Gemäss Art. 42 Abs. 1 und 2 BGG haben Rechtsschriften an das Bundesgericht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seiner Eingabe vor Bundesgericht befasst sich der Beschwerdeführer nicht mit den Erwägungen der Vorinstanz zu ihrem Nichteintreten infolge Fristversäumnisses. Inwiefern die Auffassung der Vorinstanz gegen das Recht im Sinne von Art. 95 BGG verstossen könnte, legt der Beschwerdeführer nicht dar. Damit enthält die Beschwerde, soweit sie die direkte Bundessteuer betrifft, keine den gesetzlichen Anforderungen genügende Begründung, weshalb darauf nicht einzutreten ist.</w:t>
      </w:r>
    </w:p>
    <w:p>
      <w:r>
        <w:t>II. Staats- und Gemeindesteuern 2014</w:t>
      </w:r>
    </w:p>
    <w:p>
      <w:r>
        <w:rPr>
          <w:b/>
        </w:rPr>
        <w:t>E. 3.1</w:t>
      </w:r>
    </w:p>
    <w:p>
      <w:r>
        <w:t>Angefochten war bei der Vorinstanz ein Nichteintretensentscheid (Einspracheentscheid) der Veranlagungsbehörde Solothurn. Das Steuergericht konnte daher nur prüfen, ob die Einsprachebehörde auf die bei ihr erhobene Einsprache zu Recht nicht eingetreten war. Nicht zu prüfen waren dagegen materielle Fragen der Veranlagung. Damit ist auch der Streitgegenstand für das bundesgerichtliche Verfahren verbindlich festgelegt, denn die Überprüfungsbefugnis des Bundesgerichts kann nicht grösser sein als diejenige der Vorinstanz. Zu überprüfen ist daher nur, ob in der Bestätigung des Nichteintretensentscheids (Einspracheentscheids) durch die Vorinstanz eine Rechtsverletzung im Sinne von Art. 95 und 96 BGG vorliegt (vgl. Urteil 2C_253/2014 vom 11. Dezember 2014 E. 2).</w:t>
      </w:r>
    </w:p>
    <w:p>
      <w:r>
        <w:rPr>
          <w:b/>
        </w:rPr>
        <w:t>E. 3.2.1</w:t>
      </w:r>
    </w:p>
    <w:p>
      <w:r>
        <w:t>In der Regel kann allein der Steuerpflichtige umfassend Auskunft über seine finanziellen Verhältnisse geben. Die der Veranlagungsbehörde obliegende Beweislast wird daher durch die Mitwirkungspflicht des Steuerpflichtigen gemildert.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 140 ff. des Solothurner Gesetzes vom 1. Dezember 1985 über die Staats- und Gemeindesteuern [StG/SO; BGS 614.11]; vgl. Urteil 2C_179/2016 / 2C_180/2016 vom 9. Januar 2017 E. 3.1 mit Hinweisen; vgl. auch BGE 121 II 273 E. 3c/bb S. 285).</w:t>
      </w:r>
    </w:p>
    <w:p>
      <w:r>
        <w:rPr>
          <w:b/>
        </w:rPr>
        <w:t>E. 3.2.2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46 Abs. 3 StHG bzw. § 147 Abs. 2 StG /SO).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 38b zu Art. 46 StHG ).</w:t>
      </w:r>
    </w:p>
    <w:p>
      <w:r>
        <w:rPr>
          <w:b/>
        </w:rPr>
        <w:t>E. 3.2.3</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Ermessenseinschätzung Prozessvoraussetzungen dar (Urteile 2C_554/2013 und 2C_555/2013 vom 30. Januar 2014 E. 2.5; grundlegend bereits BGE 123 II 552 E. 4 S. 556 ff.; s. auch BGE 131 II 548 E. 2.3 S. 551). Fehlt es an einer solchen Einsprachebegründung, ist auf die Einsprache nicht einzutreten, wie dies § 149 Abs. 4 dritter Satz StG/SO ausdrücklich vorsieht.</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grundsätzlich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(zum Ganzen vgl. Urteil 2C_579/2008 vom 29. April 2009 E. 2.1; vgl. auch RICHNER/FREI/KAUFMANN/MEUTER, Handkommentar zum DBG, 3. Aufl. 2016, N. 62 bis 64 zu Art. 132, mit Hinweisen). Auf die Einsprache eines Steuerpflichtigen, welcher nach Ermessen veranlagt worden ist und der mit der Einsprache die unterlassenen Mitwirkungshandlungen nicht nachholt, obschon ihm das möglich wäre, ist nicht einzutreten (vgl. Urteile 2C_620/2007 / 2C_621/2007 vom 2. Juli 2008 E. 2.1).</w:t>
      </w:r>
    </w:p>
    <w:p>
      <w:r>
        <w:rPr>
          <w:b/>
        </w:rPr>
        <w:t>E. 3.3</w:t>
      </w:r>
    </w:p>
    <w:p>
      <w:r>
        <w:t>Die Veranlagungsbehörde hielt die Deklarationen des Beschwerdeführers für unglaubwürdig und forderte ihn im Veranlagungsverfahren auf, verschiedene Unterlagen einzureichen, namentlich den Nachweis über sein weltweites Einkommen und Vermögen, Vollständigkeitsbescheinigungen aller Bankbeziehungen, seine Steuererklärung in Israel, Belege betreffend Einkommen und Vermögen im Ausland sowie Nachweise, dass sich seine volljährigen Kinder noch in Ausbildung befanden, bzw. zu deren Einkommen und Vermögen, wobei ihm im Falle der Nichterfüllung die Veranlagung nach pflichtgemässem Ermessen in Aussicht gestellt wurde (Schreiben vom 27. Oktober 2015). Der Beschwerdeführer reichte lediglich Unterlagen zur Ausbildung der Kinder ein. In der Folge nahm die Veranlagungsbehörde eine Ermessensveranlagung vor. In seiner Einsprache vom 5. Februar 2016 machte der Beschwerdeführer weder geltend, die Voraussetzungen für eine Ermessensveranlagung seien nicht gegeben, noch dass die Ermessenseinschätzung offensichtlich unrichtig sei. Er beantragte lediglich, es seien die Positionen Schuldzinsen (betreffend ein privates Darlehen), Kinderabzüge sowie Zuwendungen an gemeinnützige Organisationen anzupassen. Der Einsprache legte er entsprechende Belastungsanzeigen von Konten bei der Bank X.________ sowie Unterlagen zur Ausbildung der Kinder bei.</w:t>
      </w:r>
    </w:p>
    <w:p>
      <w:r>
        <w:rPr>
          <w:b/>
        </w:rPr>
        <w:t>E. 3.4</w:t>
      </w:r>
    </w:p>
    <w:p>
      <w:r>
        <w:t>Die Vorinstanz hat ausgeführt, dass die eingereichten Unterlagen den strengen Beweisanforderungen im Einspracheverfahren nicht entsprochen hätten. Es seien keine klaren Informationen zum Darlehensverhältnis vorgelegt worden; insbesondere hätten die privaten Darlehensgeber nicht hinreichend identifiziert werden können, da deren Adressen nicht angegeben worden seien. Zudem sei nicht ersichtlich, ob es sich um Freundschaftsdarlehen handle. Die Angaben des Beschwerdeführers zu den Schuldzinszahlungen seien folglich ungenügend. Bezüglich der gemeinnützigen Zuwendungen habe sich herausgestellt, dass die entsprechenden Beträge sogleich ins Ausland weitergeleitet worden seien; somit sei unklar, wem die Spendengelder letztlich zugeflossen seien, weshalb deren Abzug nicht zugelassen werden könne. Da die Einsprache insgesamt unvollständig gewesen sei und keine hinreichenden Beweismittel enthalten habe, sei die Veranlagungsbehörde zu Recht nicht darauf eingetreten.</w:t>
      </w:r>
    </w:p>
    <w:p>
      <w:r>
        <w:rPr>
          <w:b/>
        </w:rPr>
        <w:t>E. 3.5</w:t>
      </w:r>
    </w:p>
    <w:p>
      <w:r>
        <w:t>Vor Bundesgericht macht der Beschwerdeführer geltend, er habe die Belastungsanzeigen für die bezahlten Darlehenszinsen und die Zahlungen an die gemeinnützigen Organisationen eingereicht. In der Steuerauflage seien weder die Darlehensschuldzinsen noch die gemeinnützigen Zuwendungen für weitere Abklärungen des Untersuchungsnotstandes aufgeführt worden, weshalb eine diesbezügliche Aufrechnung bzw. Einschätzung nach Ermessen unzulässig gewesen sei. Er sei nie aufgefordert worden, weitere Nachweise oder Erklärungen betreffend die Darlehensschuldzinsen und die gemeinnützigen Zuwendungen nachzureichen.</w:t>
      </w:r>
    </w:p>
    <w:p>
      <w:r>
        <w:t>Diesen Vorbringen kann nicht gefolgt werden. Zwar ist denkbar, dass Teilnachweise, welche sich bloss auf einen Teil des bisher ungewissen Sachverhalts beschränken, unter gewissen Umständen zulässig sein können, falls sie geeignet sind, die in der Ermessensveranlagung getroffene Schätzung als offensichtlich unrichtig erscheinen zu lassen (vgl. Urteil 2P.344/2005 vom 31. August 2006 E. 5; vgl. auch ZWEIFEL/ HUNZIKER, a.a.O., N. 49 zu Art. 48 StHG ). Dies wäre zum Beispiel der Fall, wenn der Steuerpflichtige u.a. sein weltweites Einkommen und Vermögen entgegen Aufforderung der Steuerbehörde nicht nachweist, die Steuerbehörde u.a. bezüglich des satzbestimmenden Einkommens zur Ermessenseinschätzung schreitet und der Pflichtige in der Folge für den ebenfalls ermessensweise geschätzten Teil des steuerbaren Einkommens die erforderlichen Nachweise erbringt; diesfalls könnte der Umstand, dass weiterhin das weltweite Einkommen und Vermögen nicht nachgewiesen wird, nicht dazu führen, dass der Nachweis der offensichtlichen Unrichtigkeit der Ermessensveranlagung zur Gänze zu verneinen wäre. Vielmehr wäre in einer solchen Situation auf die Einsprache insoweit einzutreten und die Veranlagung insoweit zu korrigieren, als das steuerbare Einkommen nun korrekt nachgewiesen würde; lediglich im Rahmen der Bemessung des satzbestimmenden Einkommens könnte - mangels weiterhin fehlenden Nachweises - keine Korrektur erfolgen.</w:t>
      </w:r>
    </w:p>
    <w:p>
      <w:r>
        <w:t>Vorliegend verhält es sich jedoch anders. Die Vorinstanzen haben darauf hingewiesen, dass die gesamten Einkommens- und Vermögensverhältnisse des Steuerpflichtigen Ungereimtheiten aufwiesen - insbesondere auch die in der Schweiz steuerbaren Einkommen und Vermögenswerte - und die Steuerbehörde deshalb weitere Auskünfte verlangte, wie beispielsweise eine Vollständigkeitserklärung der Bank. Da der Steuerpflichtige dieser Aufforderung nicht nachkam und weiterhin eine Ungewissheit über seine tatsächlichen Einkommens- und Vermögensverhältnisse bestand, schritt die Steuerbehörde zur Ermessensveranlagung. Bei dieser Sachlage erfordert der gemäss Art. 48 Abs. 2 StHG (bzw. Art. 132 Abs. 3 DBG ) geforderte Nachweis der Unrichtigkeit der Ermessensveranlagung eine Nachholung der diesbezüglich notwendigen und bisher unterlassenen Mitwirkungshandlungen. Da der Beschwerdeführer dieser Verpflichtung nicht nachgekommen ist, haben die Vorinstanzen zu Recht erkannt, dass auf die Einsprache gegen die Ermessensveranlagung nicht einzutreten war.</w:t>
      </w:r>
    </w:p>
    <w:p>
      <w:r>
        <w:rPr>
          <w:b/>
        </w:rPr>
        <w:t>E. 4.1</w:t>
      </w:r>
    </w:p>
    <w:p>
      <w:r>
        <w:t>Nach dem Gesagten ist auf die Beschwerde betreffend die direkte Bundessteuer nicht einzutreten.</w:t>
      </w:r>
    </w:p>
    <w:p>
      <w:r>
        <w:rPr>
          <w:b/>
        </w:rPr>
        <w:t>E. 4.2</w:t>
      </w:r>
    </w:p>
    <w:p>
      <w:r>
        <w:t>Die Beschwerde betreffend die Staatssteuer 2014 erweist sich als unbegründet und ist abzuweisen.</w:t>
      </w:r>
    </w:p>
    <w:p>
      <w:r>
        <w:rPr>
          <w:b/>
        </w:rPr>
        <w:t>E. 4.3</w:t>
      </w:r>
    </w:p>
    <w:p>
      <w:r>
        <w:t>Ausgangsgemäss hat der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