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2C_92/2022 vom 17. Februar 2022</w:t>
      </w:r>
    </w:p>
    <w:p>
      <w:r>
        <w:t>Bundesgericht, 2022-02-17, FR</w:t>
      </w:r>
    </w:p>
    <w:p>
      <w:r>
        <w:rPr>
          <w:b/>
        </w:rPr>
        <w:t xml:space="preserve">Quelle: </w:t>
      </w:r>
      <w:r>
        <w:t>https://mcp.opencaselaw.ch/entscheid/bger_2C_92_2022</w:t>
      </w:r>
    </w:p>
    <w:p>
      <w:r>
        <w:t>FR: TF 2C_92/2022 du 17 février 2022</w:t>
      </w:r>
    </w:p>
    <w:p>
      <w:r>
        <w:t>IT: TF 2C_92/2022 del 17 febbraio 2022</w:t>
      </w:r>
    </w:p>
    <w:p>
      <w:pPr>
        <w:pStyle w:val="Heading2"/>
      </w:pPr>
      <w:r>
        <w:t>Erwägungen</w:t>
      </w:r>
    </w:p>
    <w:p>
      <w:r>
        <w:rPr>
          <w:b/>
        </w:rPr>
        <w:t>E. 1</w:t>
      </w:r>
    </w:p>
    <w:p>
      <w:r>
        <w:t>Par courrier du 23 janvier 2022, A.________, qui se trouvait incarcéré dans la prison de Crêtelongue en Valais, a écrit au Tribunal fédéral pour s'opposer à son renvoi dans son pays d'origine, dans lequel il serait en grand danger.</w:t>
      </w:r>
    </w:p>
    <w:p>
      <w:r>
        <w:t>Par ordonnance du 27 janvier 2022, posté à l'adresse de la prison de Crêtelongue, la Chancellerie de la IIe Cour de droit public a constaté que l'arrêt attaqué manquait et a imparti un délai à A.________ au 11 février 2022 pour remédier à cette irrégularité, à défaut de quoi le mémoire ne serait pas pris en considération. L'enveloppe ayant contenu l'ordonnance du 25 juin 2021 a été retournée au Tribunal fédéral avec la mention "parti". La Chancellerie de la IIe Cour de droit public a fait suivre ce courrier en date du 3 février 2022 à l'intéressé qui avait été transféré dans l'établissement pénitentiaire Gmünden à Niederteufen.</w:t>
      </w:r>
    </w:p>
    <w:p>
      <w:r>
        <w:t>Le délai du 11 février 2022 est passé sans que l'intéressé ne produise l'arrêt attaqué.</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le recourant n'a pas produit l'arrêt attaqué dans le délai imparti au 11 février 2022. Son mémoire ne peut donc pas être pris en considération.</w:t>
      </w:r>
    </w:p>
    <w:p>
      <w:r>
        <w:rPr>
          <w:b/>
        </w:rPr>
        <w:t>E. 3</w:t>
      </w:r>
    </w:p>
    <w:p>
      <w:r>
        <w:t>Le recours est ainsi manifestement irrecevable ( art. 108 al. 1 let. a LTF ) et doit être traité selon la procédure simplifiée de l' art. 108 LTF , sans qu'il y ait lieu d'ordonner un échange d'écritures. Il n'est pas perçu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