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924/2022 vom 5. Dezember 2022</w:t>
      </w:r>
    </w:p>
    <w:p>
      <w:r>
        <w:t>Bundesgericht, 2022-12-05, FR</w:t>
      </w:r>
    </w:p>
    <w:p>
      <w:r>
        <w:rPr>
          <w:b/>
        </w:rPr>
        <w:t xml:space="preserve">Quelle: </w:t>
      </w:r>
      <w:r>
        <w:t>https://mcp.opencaselaw.ch/entscheid/bger_2C_924_2022</w:t>
      </w:r>
    </w:p>
    <w:p>
      <w:r>
        <w:t>FR: TF 2C 924/2022 du 5 décembre 2022</w:t>
      </w:r>
    </w:p>
    <w:p>
      <w:r>
        <w:t>IT: TF 2C 924/2022 del 5 dicembre 2022</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Par courrier du 16 novembre 2022, A.________ a adressé au Tribunal fédéral un recours dirigé contre l'arrêt rendu le 11 octobre 2022 par la Cour de justice du canton de Genève en matière de droit des étrangers. Il indiquait avoir annexé à son courrier l'arrêt attaqué. L'enveloppe ne contenait toutefois pas l'annexe mentionnée. Par ordonnance du 17 novembre 2022, la Chancellerie de la IIe Cour de droit public du Tribunal fédéral a imparti à l'intéressé un délai échéant au 2 décembre 2022 pour produire l'arrêt attaqué et remédier ainsi à l'irrégularité relevée, faute de quoi son mémoire ne serait pas pris en considération. Le courrier recommandé contenant l'ordonnance du 17 novembre 2022 a été retourné par la Poste au Tribunal fédéral avec la mention "non réclamé". Il n'a pas été ordonné d'échange des écritures.</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l'arrêt attaqué dans le délai imparti au 2 décembre 2022. Son mémoire ne peut donc pas être pris en considération.</w:t>
      </w:r>
    </w:p>
    <w:p>
      <w:r>
        <w:rPr>
          <w:b/>
        </w:rPr>
        <w:t>E. 3</w:t>
      </w:r>
    </w:p>
    <w:p>
      <w:r>
        <w:t>Le recours doit être déclaré manifestement irrecevable en application de la procédure simplifiée de l' art. 108 al. 1 let. a LTF . 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