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2C_922/2010 vom 6. September 2010</w:t>
      </w:r>
    </w:p>
    <w:p>
      <w:r>
        <w:t>Bundesgericht, 2010-09-06, IT</w:t>
      </w:r>
    </w:p>
    <w:p>
      <w:r>
        <w:rPr>
          <w:b/>
        </w:rPr>
        <w:t xml:space="preserve">Quelle: </w:t>
      </w:r>
      <w:r>
        <w:t>https://mcp.opencaselaw.ch/entscheid/bger_2C_922_2010</w:t>
      </w:r>
    </w:p>
    <w:p>
      <w:r>
        <w:t>FR: TF 2C_922/2010 du 6 septembre 2010</w:t>
      </w:r>
    </w:p>
    <w:p>
      <w:r>
        <w:t>IT: TF 2C_922/2010 del 6 settembre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Giusta l' art. 54 cpv. 1 LTF il procedimento si svolge in una delle lingue ufficiali (tedesco, francese, italiano, rumantsch grischun), di regola nella lingua della decisione impugnata. Nel caso concreto niente è stato addotto che giustificherebbe di scostarsi da questa regola, motivo per cui la sentenza è redatta nella lingua della decisione impugnata, ossia l'italiano.</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federale;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(cfr. DTF 121 III 397 consid. 2a pag. 400).</w:t>
      </w:r>
    </w:p>
    <w:p>
      <w:r>
        <w:rPr>
          <w:b/>
        </w:rPr>
        <w:t>E. 2.2</w:t>
      </w:r>
    </w:p>
    <w:p>
      <w:r>
        <w:t>Nel caso concreto, l'atto di ricorso non adempie manifestamente queste esigenze di motivazione. In effetti la ricorrente si limita a contestare il fatto che le spese (di sede cantonale) siano state poste a suo carico, rispettivamente pretende che le spiegazioni fornitele da questa Corte il 18 ottobre 2010 siano errate. Riguardo alla sentenza cantonale ella non si confronta del tutto con gli argomenti posti a fondamento della stessa, non si esprime cioè sull'inammissibilità del suo gravame cantonale per tardività né sul fatto che non sono considerate adempite le condizioni per accordarle una restituzione dei termini per impedimento non colpevole, così come non si confronta con l'esauriente argomentazione sviluppata al riguardo dalla Corte cantonale (cfr. sentenza impugnata pag. 3 a 6) né sostanzia segnatamente una qualsiasi violazione del diritto (art. 95 segg. LTF). L'impugnativa, manifestamente non motivata in modo sufficiente, si rivela quindi inammissibile.</w:t>
      </w:r>
    </w:p>
    <w:p>
      <w:r>
        <w:rPr>
          <w:b/>
        </w:rPr>
        <w:t>E. 3.1</w:t>
      </w:r>
    </w:p>
    <w:p>
      <w:r>
        <w:t>Per quanto precede, il gravame va dichiarato inammissibile secondo la procedura semplificata dell' art. 108 cpv. 1 lett. b LTF .</w:t>
      </w:r>
    </w:p>
    <w:p>
      <w:r>
        <w:rPr>
          <w:b/>
        </w:rPr>
        <w:t>E. 3.2</w:t>
      </w:r>
    </w:p>
    <w:p>
      <w:r>
        <w:t>La domanda di nomina di un avvocato d'ufficio non può trovare accoglimento, atteso che le conclusioni della ricorrente erano sin dall'inizio prive di probabilità di successo ( art. 64 LTF ). Ella è stata avvisata delle manifeste mancanze del suo gravame; ciononostante, ha insistito nel volere ricorrere. Le spese seguono quindi la soccombenza e vanno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