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2C_919/2022 vom 30. November 2022</w:t>
      </w:r>
    </w:p>
    <w:p>
      <w:r>
        <w:t>Bundesgericht, 2022-11-30, FR</w:t>
      </w:r>
    </w:p>
    <w:p>
      <w:r>
        <w:rPr>
          <w:b/>
        </w:rPr>
        <w:t xml:space="preserve">Quelle: </w:t>
      </w:r>
      <w:r>
        <w:t>https://mcp.opencaselaw.ch/entscheid/bger_2C_919_2022</w:t>
      </w:r>
    </w:p>
    <w:p>
      <w:r>
        <w:t>FR: TF 2C_919/2022 du 30 novembre 2022</w:t>
      </w:r>
    </w:p>
    <w:p>
      <w:r>
        <w:t>IT: TF 2C_919/2022 del 30 novembre 2022</w:t>
      </w:r>
    </w:p>
    <w:p>
      <w:pPr>
        <w:pStyle w:val="Heading2"/>
      </w:pPr>
      <w:r>
        <w:t>Erwägungen</w:t>
      </w:r>
    </w:p>
    <w:p>
      <w:r>
        <w:rPr>
          <w:b/>
        </w:rPr>
        <w:t>E. 1</w:t>
      </w:r>
    </w:p>
    <w:p>
      <w:r>
        <w:t>Par décision finale du 7 août 2019, l'Administration fédérale des contributions (ci-après: l'Administration fédérale) a accordé l'assistance administrative fiscale que l'autorité compétente espagnole avait requise le 13 mars 2019 concernant A.________. Le 14 avril 2021, le Tribunal administratif fédéral a rejeté le recours formé par A.________ contre cette décision finale et, par arrêt du 14 mai 2021, le Tribunal fédéral a déclaré irrecevable le recours formé par l'intéressée contre cet arrêt (cause 2C_366/2021).</w:t>
      </w:r>
    </w:p>
    <w:p>
      <w:r>
        <w:rPr>
          <w:b/>
        </w:rPr>
        <w:t>E. 2</w:t>
      </w:r>
    </w:p>
    <w:p>
      <w:r>
        <w:t>Le 6 mai 2021, A.________ a adressé au Tribunal administratif fédéral une demande de révision de son arrêt du 14 avril 2021, que celui-ci a rejetée par arrêt du 7 juillet 2022.</w:t>
      </w:r>
    </w:p>
    <w:p>
      <w:r>
        <w:t>Le 6 mai 2021, A.________ a également demandé à l'Administration fédérale de réexaminer sa décision finale du 7 août 2019. A l'appui de cette demande, elle a produit un jugement du 23 décembre 2020 du Tribunal économique régional catalan, qu'elle avait reçu le 19 janvier 2021, selon lequel A.________ ne serait pas considérée comme une résidente fiscale espagnole durant les années 2013 à 2016 et ne serait ainsi pas assujettie de manière illimitée aux impôts en Espagne durant cette période.</w:t>
      </w:r>
    </w:p>
    <w:p>
      <w:r>
        <w:t>Par décision du 8 septembre 2021, l'Administration fédérale a rejeté la demande de réexamen dans la mesure de sa recevabilité. Contre cette décision, A.________ a recouru auprès du Tribunal administratif fédéral, qui a rejeté le recours par arrêt du 13 octobre 2022.</w:t>
      </w:r>
    </w:p>
    <w:p>
      <w:r>
        <w:rPr>
          <w:b/>
        </w:rPr>
        <w:t>E. 3</w:t>
      </w:r>
    </w:p>
    <w:p>
      <w:r>
        <w:t>Contre l'arrêt du 13 octobre 2022, A.________ forme un recours en matière de droit public au Tribunal fédéral. Elle conclut, sous suite de frais et dépens, à l'annulation de l'arrêt attaqué et au renvoi de la cause à l'autorité inférieure pour nouvelle décision dans le sens des considérants.</w:t>
      </w:r>
    </w:p>
    <w:p>
      <w:r>
        <w:t>Elle demande à titre préalable que l'effet suspensif soit accordé à son recours.</w:t>
      </w:r>
    </w:p>
    <w:p>
      <w:r>
        <w:t>Il n'a pas été ordonné d'échange d'écritures.</w:t>
      </w:r>
    </w:p>
    <w:p>
      <w:r>
        <w:rPr>
          <w:b/>
        </w:rPr>
        <w:t>E. 4</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4.1</w:t>
      </w:r>
    </w:p>
    <w:p>
      <w:r>
        <w:t>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340 consid. 4; arrêt 2C_963/2014 du 24 septembre 2015 consid. 1.3 non publié in ATF 141 II 436 , mais in Archives 84 p. 559 et traduit in RDAF 2016 II 374). 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 ATF 145 IV 99 consid. 1.3), peut conduire à considérer que la condition de recevabilité posée à l' art. 84 al. 2 LTF est remplie ( ATF 145 IV 99 consid. 1.5).</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4.2</w:t>
      </w:r>
    </w:p>
    <w:p>
      <w:r>
        <w:t>La recourante fait valoir que la présente cause représente un cas particulièrement important, parce que le Tribunal administratif fédéral a fait preuve d'arbitraire en considérant que l'Administration fédérale était fondée à rejeter sa demande de réexamen.</w:t>
      </w:r>
    </w:p>
    <w:p>
      <w:r>
        <w:rPr>
          <w:b/>
        </w:rPr>
        <w:t>E. 4.3</w:t>
      </w:r>
    </w:p>
    <w:p>
      <w:r>
        <w:t>La jurisprudence a déduit des garanties générales de procédure de l' art. 29 al. 1 Cst. (ancien art. 4 aCst. ) le droit d'exiger à certaines conditions le réexamen d'une décision (cf. ATF 138 I 61 consid. 4.3; 137 II 177 consid. 2.1; arrêt 2C_124/2022 du 1er novembre 2022 consid. 3.2). Il est notamment possible de réclamer le réexamen d'une décision lorsque les circonstances se sont modifiées de façon significative ou lorsque des faits ou moyens de preuve importants sont invoqués, qui n'étaient pas connus lors d'une procédure antérieure, qui n'ont pas pu être invoqués pour des raisons de fait ou de droit, ou qui ne devaient pas être invoqués parce qu'il n'y avait pas de motif à cela (cf. ATF 138 I 61 consid. 4.3; 136 I 177 consid. 2.1). Savoir si une demande de réexamen doit être traitée matériellement dépend de la question de savoir si les faits ont changé de telle manière qu'un autre résultat peut sérieusement être envisagé (cf. ATF 136 II 177 consid. 2.2.1; arrêt 2C_124/2022 du 1er novembre 2022 consid. 3.2). Le réexamen de décisions administratives entrées en force ne doit pas être admis trop facilement. Il ne doit en particulier pas servir à remettre sans cesse en question des décisions administratives définitives ou à contourner les délais de recours (cf. ATF 136 I 177 consid. 2.1; 120 Ib 42 consid. 2b; arrêt 2C_124/2022 du 1er novembre 2022 consid. 3.2).</w:t>
      </w:r>
    </w:p>
    <w:p>
      <w:r>
        <w:rPr>
          <w:b/>
        </w:rPr>
        <w:t>E. 4.3.1</w:t>
      </w:r>
    </w:p>
    <w:p>
      <w:r>
        <w:t>En l'occurrence, le Tribunal administratif fédéral a constaté que la recourante avait fondé sa demande de réexamen du 6 mai 2021 sur un jugement catalan qu'elle avait reçu le 19 janvier 2021 et dont elle avait donc déjà connaissance au cours de la procédure de recours devant le Tribunal administratif fédéral contre la décision finale du 7 août 2019 de l'Administration fédérale. Il en a conclu que ce jugement, invoqué tardivement, ne constituait pas un fait ou un moyen de preuve nouveau ou une modification notable de circonstances propre à justifier un réexamen de l'octroi de l'assistance administrative à l'Espagne.</w:t>
      </w:r>
    </w:p>
    <w:p>
      <w:r>
        <w:rPr>
          <w:b/>
        </w:rPr>
        <w:t>E. 4.3.2</w:t>
      </w:r>
    </w:p>
    <w:p>
      <w:r>
        <w:t>Pour justifier l'entrée en matière sur son recours, la recourante fait valoir que le jugement catalan qu'elle a produit à l'appui de sa demande de réexamen le 6 mai 2021 est propre à entraîner une nouvelle appréciation, car elle prouverait qu'elle n'était pas assujettie de manière illimitée à l'impôt à l'Espagne durant les périodes visées par la demande. Donner une suite favorable à la demande du 13 mars 2019 dans ces circonstances aboutirait à un résultat choquant et contraire à la jurisprudence constante du Tribunal fédéral.</w:t>
      </w:r>
    </w:p>
    <w:p>
      <w:r>
        <w:rPr>
          <w:b/>
        </w:rPr>
        <w:t>E. 4.3.3</w:t>
      </w:r>
    </w:p>
    <w:p>
      <w:r>
        <w:t>Par cette motivation, la recourante n'explique nullement en quoi le Tribunal administratif fédéral aurait violé des principes fondamentaux de procédure. Elle n'explique pas non plus en quoi les juges précédents auraient mal appliqué les règles qui président en matière de réexamen en considérant qu'elle s'était prévalue tardivement de ce jugement en l'invoquant le 6 mai 2021, alors qu'elle en avait eu connaissance au cours de la procédure de recours contre la décision finale du 17 août 2019. Il convient de rappeler que la jurisprudence a précisé que le point de savoir si une personne était ou non domiciliée dans l'Etat requérant lors des périodes fiscales en cause est une question qui relève du droit interne et qui n'a en principe pas à être examinée par l'Etat requis (cf. ATF 142 II 161 consid. 2.2.2; 142 II 218 consid. 3.7; cf. arrêt 2C_953/2020 du 24 novembre 2021 consid. 3.2). La recourante échoue ainsi à démontrer en quoi les conditions de recevabilité de l' art. 84a LTF sont remplies.</w:t>
      </w:r>
    </w:p>
    <w:p>
      <w:r>
        <w:rPr>
          <w:b/>
        </w:rPr>
        <w:t>E. 5</w:t>
      </w:r>
    </w:p>
    <w:p>
      <w:r>
        <w:t>Il en découle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6</w:t>
      </w:r>
    </w:p>
    <w:p>
      <w:r>
        <w:t>Cette conséquence fait perdre tout objet à la demande d'effet suspensif, à supposer que la recourante ait eu un intérêt à demander son octroi, puisque l'effet suspensif est prévu à l' art. 103 al. 2 let .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