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2C_919/2017 vom 31. Oktober 2017</w:t>
      </w:r>
    </w:p>
    <w:p>
      <w:r>
        <w:t>Bundesgericht, 2017-10-31, FR</w:t>
      </w:r>
    </w:p>
    <w:p>
      <w:r>
        <w:rPr>
          <w:b/>
        </w:rPr>
        <w:t xml:space="preserve">Quelle: </w:t>
      </w:r>
      <w:r>
        <w:t>https://mcp.opencaselaw.ch/entscheid/bger_2C_919_2017</w:t>
      </w:r>
    </w:p>
    <w:p>
      <w:r>
        <w:t>FR: TF 2C_919/2017 du 31 octobre 2017</w:t>
      </w:r>
    </w:p>
    <w:p>
      <w:r>
        <w:t>IT: TF 2C_919/2017 del 31 ottobre 2017</w:t>
      </w:r>
    </w:p>
    <w:p>
      <w:pPr>
        <w:pStyle w:val="Heading2"/>
      </w:pPr>
      <w:r>
        <w:t>Erwägungen</w:t>
      </w:r>
    </w:p>
    <w:p>
      <w:r>
        <w:rPr>
          <w:b/>
        </w:rPr>
        <w:t>E. 1</w:t>
      </w:r>
    </w:p>
    <w:p>
      <w:r>
        <w:t>Par arrêt du 2 octobre 2017, le Tribunal cantonal du canton de Vaud a rejeté le recours que X.________ a déposé contre la décision de la Commission de recours en matière d'impôts de la Commune de Y.________ du 16 novembre 2016 confirmant une facture de taxe d'élimination des déchets de 200 fr. pour 2016.</w:t>
      </w:r>
    </w:p>
    <w:p>
      <w:r>
        <w:rPr>
          <w:b/>
        </w:rPr>
        <w:t>E. 2</w:t>
      </w:r>
    </w:p>
    <w:p>
      <w:r>
        <w:t>Par courrier du 23 octobre 2017, le contribuable demande au Tribunal fédéral d'annuler l'arrêt rendu le 2 octobre 2017 par le Tribunal cantonal du canton de Vaud. Il se plaint de la violation du principe d'équivalence et demande la suppression de l'art. 7bis Annexe 1 RGD.</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l'arrêt attaqué a jugé qu'il était admissible de percevoir une taxe de base indépendante de la quantité de déchets de 200 fr. pour les entreprises exerçant sur le territoire de la commune et que la situation du contribuable n'était pas comparable à celle d'une personnes exerçant son activité professionnelle à domicile, parce qu'il n'était pas domicilié dans la commune, de sorte que la validité de l'art. 7bis Annexe 1 RGD n'avait pas à être examinée. Le recourant ne s'en prend pas à cette double motivation. Il se plaint en revanche de la violation du principe de l'équivalence, mais n'expose pas en quoi ce principe constitutionnel serait violé.</w:t>
      </w:r>
    </w:p>
    <w:p>
      <w:r>
        <w:rPr>
          <w:b/>
        </w:rPr>
        <w:t>E. 4</w:t>
      </w:r>
    </w:p>
    <w:p>
      <w:r>
        <w:t>Dépourvu de toute motivation, 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